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795FA2" w14:paraId="152AD0F0" w14:textId="77777777" w:rsidTr="00ED745E">
        <w:tc>
          <w:tcPr>
            <w:tcW w:w="4508" w:type="dxa"/>
            <w:shd w:val="clear" w:color="auto" w:fill="auto"/>
          </w:tcPr>
          <w:p w14:paraId="5BE764F6" w14:textId="77777777" w:rsidR="00795FA2" w:rsidRDefault="00795FA2" w:rsidP="00795FA2">
            <w:pPr>
              <w:textAlignment w:val="baseline"/>
              <w:rPr>
                <w:rFonts w:ascii="Arial" w:eastAsia="Times New Roman" w:hAnsi="Arial" w:cs="Arial"/>
                <w:sz w:val="36"/>
                <w:szCs w:val="36"/>
                <w:lang w:eastAsia="en-BE"/>
              </w:rPr>
            </w:pPr>
            <w:r>
              <w:rPr>
                <w:rFonts w:ascii="Arial" w:eastAsia="Times New Roman" w:hAnsi="Arial" w:cs="Arial"/>
                <w:sz w:val="36"/>
                <w:szCs w:val="36"/>
                <w:lang w:eastAsia="en-BE"/>
              </w:rPr>
              <w:t>Eindejaarspremie – specifieke regeling voor de handelsvertegenwoordiger</w:t>
            </w:r>
          </w:p>
          <w:p w14:paraId="249707D6" w14:textId="02D5B758" w:rsidR="00C40FFC" w:rsidRPr="002B47C8" w:rsidRDefault="00C40FFC" w:rsidP="00C04F97">
            <w:pPr>
              <w:rPr>
                <w:rFonts w:ascii="Arial" w:hAnsi="Arial" w:cs="Arial"/>
                <w:sz w:val="36"/>
                <w:szCs w:val="36"/>
                <w:highlight w:val="yellow"/>
              </w:rPr>
            </w:pPr>
          </w:p>
        </w:tc>
        <w:tc>
          <w:tcPr>
            <w:tcW w:w="4508" w:type="dxa"/>
            <w:shd w:val="clear" w:color="auto" w:fill="auto"/>
          </w:tcPr>
          <w:p w14:paraId="4EE7FE2E" w14:textId="77777777" w:rsidR="00C40FFC" w:rsidRDefault="00795FA2" w:rsidP="00C04F97">
            <w:pPr>
              <w:rPr>
                <w:rFonts w:ascii="Arial" w:eastAsia="Times New Roman" w:hAnsi="Arial" w:cs="Arial"/>
                <w:sz w:val="36"/>
                <w:szCs w:val="36"/>
                <w:lang w:val="fr-BE" w:eastAsia="en-BE"/>
              </w:rPr>
            </w:pPr>
            <w:r>
              <w:rPr>
                <w:rFonts w:ascii="Arial" w:eastAsia="Times New Roman" w:hAnsi="Arial" w:cs="Arial"/>
                <w:sz w:val="36"/>
                <w:szCs w:val="36"/>
                <w:lang w:val="fr-BE" w:eastAsia="en-BE"/>
              </w:rPr>
              <w:t>Prime de fin d’année – régime spécifique pour les représentants de commerce</w:t>
            </w:r>
            <w:r w:rsidRPr="00795FA2">
              <w:rPr>
                <w:rFonts w:ascii="Arial" w:eastAsia="Times New Roman" w:hAnsi="Arial" w:cs="Arial"/>
                <w:sz w:val="36"/>
                <w:szCs w:val="36"/>
                <w:lang w:val="fr-BE" w:eastAsia="en-BE"/>
              </w:rPr>
              <w:t> </w:t>
            </w:r>
          </w:p>
          <w:p w14:paraId="51145C6E" w14:textId="599F4A08" w:rsidR="00795FA2" w:rsidRPr="00795FA2" w:rsidRDefault="00795FA2" w:rsidP="00C04F97">
            <w:pPr>
              <w:rPr>
                <w:rFonts w:ascii="Arial" w:hAnsi="Arial" w:cs="Arial"/>
                <w:sz w:val="36"/>
                <w:szCs w:val="36"/>
                <w:highlight w:val="yellow"/>
                <w:lang w:val="fr-BE"/>
              </w:rPr>
            </w:pPr>
          </w:p>
        </w:tc>
      </w:tr>
      <w:tr w:rsidR="00C40FFC" w:rsidRPr="00795FA2" w14:paraId="434AB6E4" w14:textId="77777777" w:rsidTr="00C04F97">
        <w:tc>
          <w:tcPr>
            <w:tcW w:w="4508" w:type="dxa"/>
          </w:tcPr>
          <w:p w14:paraId="3506C51E" w14:textId="77777777" w:rsidR="00C40FFC" w:rsidRDefault="00C40FFC" w:rsidP="004A1DE8">
            <w:pPr>
              <w:jc w:val="both"/>
              <w:rPr>
                <w:rFonts w:ascii="Arial" w:eastAsia="Times New Roman" w:hAnsi="Arial" w:cs="Arial"/>
                <w:lang w:eastAsia="en-BE"/>
              </w:rPr>
            </w:pPr>
            <w:r w:rsidRPr="002C2D50">
              <w:rPr>
                <w:rFonts w:ascii="Arial" w:hAnsi="Arial" w:cs="Arial"/>
                <w:b/>
                <w:bCs/>
              </w:rPr>
              <w:t xml:space="preserve">CAO van </w:t>
            </w:r>
            <w:r w:rsidR="00795FA2">
              <w:rPr>
                <w:rFonts w:ascii="Arial" w:eastAsia="Times New Roman" w:hAnsi="Arial" w:cs="Arial"/>
                <w:b/>
                <w:bCs/>
                <w:lang w:eastAsia="en-BE"/>
              </w:rPr>
              <w:t>17/09/2019 gesloten in het Paritair Comité voor de bedienden van de scheikundige nijverheid betreffende de eindejaarspremie voor de handelsvertegenwoordigers</w:t>
            </w:r>
            <w:r w:rsidR="00795FA2">
              <w:rPr>
                <w:rFonts w:ascii="Arial" w:eastAsia="Times New Roman" w:hAnsi="Arial" w:cs="Arial"/>
                <w:lang w:eastAsia="en-BE"/>
              </w:rPr>
              <w:t> </w:t>
            </w:r>
          </w:p>
          <w:p w14:paraId="21FD9DBF" w14:textId="21BEEFEB" w:rsidR="00795FA2" w:rsidRPr="002C2D50" w:rsidRDefault="00795FA2" w:rsidP="004A1DE8">
            <w:pPr>
              <w:jc w:val="both"/>
              <w:rPr>
                <w:rFonts w:ascii="Arial" w:hAnsi="Arial" w:cs="Arial"/>
                <w:b/>
                <w:bCs/>
              </w:rPr>
            </w:pPr>
          </w:p>
        </w:tc>
        <w:tc>
          <w:tcPr>
            <w:tcW w:w="4508" w:type="dxa"/>
          </w:tcPr>
          <w:p w14:paraId="31074420" w14:textId="77777777" w:rsidR="00795FA2" w:rsidRPr="00795FA2" w:rsidRDefault="00795FA2" w:rsidP="00795FA2">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b/>
                <w:bCs/>
                <w:lang w:val="fr-BE" w:eastAsia="en-BE"/>
              </w:rPr>
              <w:t>CCT du 17/09/2019 conclue au sein de la Commission Paritaire pour employés de l’industrie chimique relative à la prime de fin d’année pour les représentants de commerce</w:t>
            </w:r>
            <w:r w:rsidRPr="00795FA2">
              <w:rPr>
                <w:rFonts w:ascii="Arial" w:eastAsia="Times New Roman" w:hAnsi="Arial" w:cs="Arial"/>
                <w:lang w:val="fr-BE" w:eastAsia="en-BE"/>
              </w:rPr>
              <w:t> </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795FA2" w14:paraId="07D9FB25" w14:textId="77777777" w:rsidTr="00C04F97">
        <w:tc>
          <w:tcPr>
            <w:tcW w:w="4508" w:type="dxa"/>
          </w:tcPr>
          <w:p w14:paraId="6BA1FE11" w14:textId="1483634D"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Deze CAO is van toepassing op de werkgevers van de ondernemingen welke ressorteren onder het Paritair Comité voor de bedienden uit de scheikundige nijverheid en  op de bedienden die overeenkomstig artikel 4 van de wet van 3 juli 1978 betreffende de arbeidsovereenkomsten, onder het statuut van handelsvertegenwoordiger ressorteren, hierna de “werknemer(s)” genoemd. </w:t>
            </w:r>
          </w:p>
          <w:p w14:paraId="409CBF7F" w14:textId="56BD6256" w:rsidR="00795FA2" w:rsidRDefault="00795FA2" w:rsidP="00795FA2">
            <w:pPr>
              <w:jc w:val="both"/>
              <w:textAlignment w:val="baseline"/>
              <w:rPr>
                <w:rFonts w:ascii="Times New Roman" w:eastAsia="Times New Roman" w:hAnsi="Times New Roman" w:cs="Times New Roman"/>
                <w:sz w:val="24"/>
                <w:szCs w:val="24"/>
                <w:lang w:eastAsia="en-BE"/>
              </w:rPr>
            </w:pPr>
          </w:p>
          <w:p w14:paraId="5CDFE5E5" w14:textId="018B4407" w:rsidR="00C40FFC" w:rsidRPr="00795FA2" w:rsidRDefault="00795FA2" w:rsidP="00795FA2">
            <w:pPr>
              <w:jc w:val="both"/>
              <w:textAlignment w:val="baseline"/>
              <w:rPr>
                <w:rFonts w:ascii="Arial" w:eastAsia="Times New Roman" w:hAnsi="Arial" w:cs="Arial"/>
                <w:lang w:eastAsia="en-BE"/>
              </w:rPr>
            </w:pPr>
            <w:r w:rsidRPr="00795FA2">
              <w:rPr>
                <w:rFonts w:ascii="Arial" w:eastAsia="Times New Roman" w:hAnsi="Arial" w:cs="Arial"/>
                <w:lang w:eastAsia="en-BE"/>
              </w:rPr>
              <w:t>Met “werknemer(s)” wordt verstaan: de mannelijke en vrouwelijke werknemers</w:t>
            </w:r>
            <w:r w:rsidRPr="00795FA2">
              <w:rPr>
                <w:rFonts w:ascii="Arial" w:eastAsia="Times New Roman" w:hAnsi="Arial" w:cs="Arial"/>
                <w:lang w:eastAsia="en-BE"/>
              </w:rPr>
              <w:t>.</w:t>
            </w:r>
          </w:p>
          <w:p w14:paraId="5CF01E06" w14:textId="1E707FB4" w:rsidR="00795FA2" w:rsidRPr="008D702B" w:rsidRDefault="00795FA2" w:rsidP="00795FA2">
            <w:pPr>
              <w:pStyle w:val="textebase"/>
              <w:rPr>
                <w:rFonts w:ascii="Arial" w:hAnsi="Arial" w:cs="Arial"/>
              </w:rPr>
            </w:pPr>
          </w:p>
        </w:tc>
        <w:tc>
          <w:tcPr>
            <w:tcW w:w="4508" w:type="dxa"/>
          </w:tcPr>
          <w:p w14:paraId="2E40C0E0" w14:textId="77777777" w:rsidR="00795FA2" w:rsidRPr="00795FA2" w:rsidRDefault="00795FA2" w:rsidP="00795FA2">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FR" w:eastAsia="en-BE"/>
              </w:rPr>
              <w:t xml:space="preserve">La présente CCT s’applique aux employeurs des entreprises ressortissant à la </w:t>
            </w:r>
            <w:r>
              <w:rPr>
                <w:rFonts w:ascii="Arial" w:eastAsia="Times New Roman" w:hAnsi="Arial" w:cs="Arial"/>
                <w:lang w:val="fr-BE" w:eastAsia="en-BE"/>
              </w:rPr>
              <w:t>Commission Paritaire pour employés de l’industrie chimique et aux employés bénéficiant, conformément à l’article 4 de la loi du 3 juillet 1978 relative aux contrats de travail, du statut de représentant de commerce, ci-après dénommé(s) « le(s) travailleur(s) ».</w:t>
            </w:r>
            <w:r w:rsidRPr="00795FA2">
              <w:rPr>
                <w:rFonts w:ascii="Arial" w:eastAsia="Times New Roman" w:hAnsi="Arial" w:cs="Arial"/>
                <w:lang w:val="fr-BE" w:eastAsia="en-BE"/>
              </w:rPr>
              <w:t> </w:t>
            </w:r>
          </w:p>
          <w:p w14:paraId="053427EC" w14:textId="77777777" w:rsidR="00795FA2" w:rsidRPr="00795FA2" w:rsidRDefault="00795FA2" w:rsidP="00795FA2">
            <w:pPr>
              <w:jc w:val="both"/>
              <w:textAlignment w:val="baseline"/>
              <w:rPr>
                <w:rFonts w:ascii="Times New Roman" w:eastAsia="Times New Roman" w:hAnsi="Times New Roman" w:cs="Times New Roman"/>
                <w:sz w:val="24"/>
                <w:szCs w:val="24"/>
                <w:lang w:val="fr-BE" w:eastAsia="en-BE"/>
              </w:rPr>
            </w:pPr>
            <w:r w:rsidRPr="00795FA2">
              <w:rPr>
                <w:rFonts w:ascii="Arial" w:eastAsia="Times New Roman" w:hAnsi="Arial" w:cs="Arial"/>
                <w:lang w:val="fr-BE" w:eastAsia="en-BE"/>
              </w:rPr>
              <w:t> </w:t>
            </w:r>
          </w:p>
          <w:p w14:paraId="3CEC3458" w14:textId="77777777" w:rsidR="00795FA2" w:rsidRPr="00795FA2" w:rsidRDefault="00795FA2" w:rsidP="00795FA2">
            <w:pPr>
              <w:jc w:val="both"/>
              <w:textAlignment w:val="baseline"/>
              <w:rPr>
                <w:rFonts w:ascii="Times New Roman" w:eastAsia="Times New Roman" w:hAnsi="Times New Roman" w:cs="Times New Roman"/>
                <w:sz w:val="24"/>
                <w:szCs w:val="24"/>
                <w:lang w:val="fr-BE" w:eastAsia="en-BE"/>
              </w:rPr>
            </w:pPr>
            <w:r w:rsidRPr="00795FA2">
              <w:rPr>
                <w:rFonts w:ascii="Arial" w:eastAsia="Times New Roman" w:hAnsi="Arial" w:cs="Arial"/>
                <w:lang w:val="fr-BE" w:eastAsia="en-BE"/>
              </w:rPr>
              <w:t> </w:t>
            </w:r>
          </w:p>
          <w:p w14:paraId="4CA0E2DE" w14:textId="77777777" w:rsidR="00795FA2" w:rsidRPr="00795FA2" w:rsidRDefault="00795FA2" w:rsidP="00795FA2">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FR" w:eastAsia="en-BE"/>
              </w:rPr>
              <w:t>Par « travailleurs », il faut entendre les travailleurs masculins et féminins.</w:t>
            </w:r>
            <w:r w:rsidRPr="00795FA2">
              <w:rPr>
                <w:rFonts w:ascii="Arial" w:eastAsia="Times New Roman" w:hAnsi="Arial" w:cs="Arial"/>
                <w:lang w:val="fr-BE" w:eastAsia="en-BE"/>
              </w:rPr>
              <w:t> </w:t>
            </w:r>
          </w:p>
          <w:p w14:paraId="058985AD" w14:textId="77777777" w:rsidR="00C40FFC" w:rsidRPr="00795FA2" w:rsidRDefault="00C40FFC" w:rsidP="004A1DE8">
            <w:pPr>
              <w:jc w:val="both"/>
              <w:rPr>
                <w:rFonts w:ascii="Arial" w:hAnsi="Arial" w:cs="Arial"/>
                <w:lang w:val="fr-BE"/>
              </w:rPr>
            </w:pPr>
          </w:p>
        </w:tc>
      </w:tr>
      <w:tr w:rsidR="00795FA2" w:rsidRPr="008D702B" w14:paraId="0C15F19E" w14:textId="77777777" w:rsidTr="00ED745E">
        <w:tc>
          <w:tcPr>
            <w:tcW w:w="4508" w:type="dxa"/>
          </w:tcPr>
          <w:p w14:paraId="645BF94D" w14:textId="215F1274" w:rsidR="00795FA2" w:rsidRPr="008D702B" w:rsidRDefault="00795FA2" w:rsidP="00CB58A2">
            <w:pPr>
              <w:jc w:val="both"/>
              <w:rPr>
                <w:rFonts w:ascii="Arial" w:hAnsi="Arial" w:cs="Arial"/>
                <w:b/>
                <w:bCs/>
                <w:lang w:val="fr-BE"/>
              </w:rPr>
            </w:pPr>
            <w:proofErr w:type="spellStart"/>
            <w:r>
              <w:rPr>
                <w:rFonts w:ascii="Arial" w:hAnsi="Arial" w:cs="Arial"/>
                <w:b/>
                <w:bCs/>
                <w:lang w:val="fr-BE"/>
              </w:rPr>
              <w:t>Toekenningsmodaliteiten</w:t>
            </w:r>
            <w:proofErr w:type="spellEnd"/>
          </w:p>
        </w:tc>
        <w:tc>
          <w:tcPr>
            <w:tcW w:w="4508" w:type="dxa"/>
          </w:tcPr>
          <w:p w14:paraId="3777DAE9" w14:textId="49852A1B" w:rsidR="00795FA2" w:rsidRPr="008D702B" w:rsidRDefault="00795FA2" w:rsidP="00CB58A2">
            <w:pPr>
              <w:jc w:val="both"/>
              <w:rPr>
                <w:rFonts w:ascii="Arial" w:hAnsi="Arial" w:cs="Arial"/>
                <w:b/>
                <w:bCs/>
                <w:lang w:val="fr-BE"/>
              </w:rPr>
            </w:pPr>
            <w:r>
              <w:rPr>
                <w:rFonts w:ascii="Arial" w:hAnsi="Arial" w:cs="Arial"/>
                <w:b/>
                <w:bCs/>
                <w:lang w:val="fr-BE"/>
              </w:rPr>
              <w:t>Modalités d’octroi</w:t>
            </w:r>
          </w:p>
        </w:tc>
      </w:tr>
      <w:tr w:rsidR="00ED745E" w:rsidRPr="008D702B" w14:paraId="77F1460F" w14:textId="77777777" w:rsidTr="00ED745E">
        <w:tc>
          <w:tcPr>
            <w:tcW w:w="4508" w:type="dxa"/>
          </w:tcPr>
          <w:p w14:paraId="34726097" w14:textId="77777777" w:rsidR="00ED745E" w:rsidRPr="008D702B" w:rsidRDefault="00ED745E" w:rsidP="00CB58A2">
            <w:pPr>
              <w:jc w:val="both"/>
              <w:rPr>
                <w:rFonts w:ascii="Arial" w:hAnsi="Arial" w:cs="Arial"/>
                <w:b/>
                <w:bCs/>
                <w:lang w:val="fr-BE"/>
              </w:rPr>
            </w:pPr>
            <w:r w:rsidRPr="008D702B">
              <w:rPr>
                <w:rFonts w:ascii="Arial" w:hAnsi="Arial" w:cs="Arial"/>
                <w:b/>
                <w:bCs/>
                <w:lang w:val="fr-BE"/>
              </w:rPr>
              <w:t xml:space="preserve">ARTIKEL </w:t>
            </w:r>
            <w:r>
              <w:rPr>
                <w:rFonts w:ascii="Arial" w:hAnsi="Arial" w:cs="Arial"/>
                <w:b/>
                <w:bCs/>
                <w:lang w:val="fr-BE"/>
              </w:rPr>
              <w:t>2</w:t>
            </w:r>
          </w:p>
        </w:tc>
        <w:tc>
          <w:tcPr>
            <w:tcW w:w="4508" w:type="dxa"/>
          </w:tcPr>
          <w:p w14:paraId="22F04E1C" w14:textId="77777777" w:rsidR="00ED745E" w:rsidRPr="008D702B" w:rsidRDefault="00ED745E" w:rsidP="00CB58A2">
            <w:pPr>
              <w:jc w:val="both"/>
              <w:rPr>
                <w:rFonts w:ascii="Arial" w:hAnsi="Arial" w:cs="Arial"/>
                <w:b/>
                <w:bCs/>
                <w:lang w:val="fr-BE"/>
              </w:rPr>
            </w:pPr>
            <w:r w:rsidRPr="008D702B">
              <w:rPr>
                <w:rFonts w:ascii="Arial" w:hAnsi="Arial" w:cs="Arial"/>
                <w:b/>
                <w:bCs/>
                <w:lang w:val="fr-BE"/>
              </w:rPr>
              <w:t xml:space="preserve">ARTICLE </w:t>
            </w:r>
            <w:r>
              <w:rPr>
                <w:rFonts w:ascii="Arial" w:hAnsi="Arial" w:cs="Arial"/>
                <w:b/>
                <w:bCs/>
                <w:lang w:val="fr-BE"/>
              </w:rPr>
              <w:t>2</w:t>
            </w:r>
          </w:p>
        </w:tc>
      </w:tr>
      <w:tr w:rsidR="002B47C8" w:rsidRPr="00BC3E56" w14:paraId="0205BAA2" w14:textId="77777777" w:rsidTr="00ED745E">
        <w:tc>
          <w:tcPr>
            <w:tcW w:w="4508" w:type="dxa"/>
          </w:tcPr>
          <w:p w14:paraId="0BE340A5"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Door de werkgever wordt een eindejaarspremie toegekend aan de in artikel 1 bedoelde werknemers die:  </w:t>
            </w:r>
          </w:p>
          <w:p w14:paraId="2833A3D4"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a)   op 31 december van het lopend jaar ten minste zes maanden anciënniteit tellen in de onderneming;  </w:t>
            </w:r>
          </w:p>
          <w:p w14:paraId="6020C418"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b)   krachtens een arbeidsovereenkomst voor bedienden zijn verbonden met de onderneming op het ogenblik van de betaling van de premie. </w:t>
            </w:r>
          </w:p>
          <w:p w14:paraId="6CC07406" w14:textId="77777777" w:rsidR="002B47C8" w:rsidRPr="00795FA2" w:rsidRDefault="002B47C8" w:rsidP="00CB58A2">
            <w:pPr>
              <w:jc w:val="both"/>
              <w:rPr>
                <w:rFonts w:ascii="Arial" w:hAnsi="Arial" w:cs="Arial"/>
                <w:b/>
                <w:bCs/>
              </w:rPr>
            </w:pPr>
          </w:p>
        </w:tc>
        <w:tc>
          <w:tcPr>
            <w:tcW w:w="4508" w:type="dxa"/>
          </w:tcPr>
          <w:p w14:paraId="1C1C1CD3"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Une prime de fin d’année est allouée par les employeurs aux travailleurs visés à l’article 1</w:t>
            </w:r>
            <w:r>
              <w:rPr>
                <w:rFonts w:ascii="Arial" w:eastAsia="Times New Roman" w:hAnsi="Arial" w:cs="Arial"/>
                <w:sz w:val="17"/>
                <w:szCs w:val="17"/>
                <w:vertAlign w:val="superscript"/>
                <w:lang w:val="fr-BE" w:eastAsia="en-BE"/>
              </w:rPr>
              <w:t xml:space="preserve">er </w:t>
            </w:r>
            <w:r>
              <w:rPr>
                <w:rFonts w:ascii="Arial" w:eastAsia="Times New Roman" w:hAnsi="Arial" w:cs="Arial"/>
                <w:lang w:val="fr-BE" w:eastAsia="en-BE"/>
              </w:rPr>
              <w:t>qui : </w:t>
            </w:r>
            <w:r w:rsidRPr="00BC3E56">
              <w:rPr>
                <w:rFonts w:ascii="Arial" w:eastAsia="Times New Roman" w:hAnsi="Arial" w:cs="Arial"/>
                <w:lang w:val="fr-BE" w:eastAsia="en-BE"/>
              </w:rPr>
              <w:t> </w:t>
            </w:r>
          </w:p>
          <w:p w14:paraId="7D8A7908"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a)  comptent, au 31 décembre de l’année en cours, au moins six mois d’ancienneté dans l’entreprise ; </w:t>
            </w:r>
            <w:r w:rsidRPr="00BC3E56">
              <w:rPr>
                <w:rFonts w:ascii="Arial" w:eastAsia="Times New Roman" w:hAnsi="Arial" w:cs="Arial"/>
                <w:lang w:val="fr-BE" w:eastAsia="en-BE"/>
              </w:rPr>
              <w:t> </w:t>
            </w:r>
          </w:p>
          <w:p w14:paraId="2E2FFCE5" w14:textId="44521274" w:rsidR="002B47C8" w:rsidRPr="00BC3E56" w:rsidRDefault="00BC3E56" w:rsidP="00BC3E56">
            <w:pPr>
              <w:jc w:val="both"/>
              <w:rPr>
                <w:rFonts w:ascii="Arial" w:hAnsi="Arial" w:cs="Arial"/>
                <w:b/>
                <w:bCs/>
                <w:lang w:val="fr-BE"/>
              </w:rPr>
            </w:pPr>
            <w:r>
              <w:rPr>
                <w:rFonts w:ascii="Arial" w:eastAsia="Times New Roman" w:hAnsi="Arial" w:cs="Arial"/>
                <w:lang w:val="fr-BE" w:eastAsia="en-BE"/>
              </w:rPr>
              <w:t>b)   sont liés à l’entreprise en vertu d’un contrat de travail d’employé, au moment du paiement de la prime.</w:t>
            </w:r>
            <w:r w:rsidRPr="00BC3E56">
              <w:rPr>
                <w:rFonts w:ascii="Arial" w:eastAsia="Times New Roman" w:hAnsi="Arial" w:cs="Arial"/>
                <w:lang w:val="fr-BE" w:eastAsia="en-BE"/>
              </w:rPr>
              <w:t> </w:t>
            </w:r>
          </w:p>
        </w:tc>
      </w:tr>
      <w:tr w:rsidR="002B47C8" w:rsidRPr="008D702B" w14:paraId="301DCF5B" w14:textId="77777777" w:rsidTr="00ED745E">
        <w:tc>
          <w:tcPr>
            <w:tcW w:w="4508" w:type="dxa"/>
          </w:tcPr>
          <w:p w14:paraId="312F2F7E" w14:textId="41E1C4D0" w:rsidR="002B47C8" w:rsidRPr="00795FA2" w:rsidRDefault="00795FA2" w:rsidP="00CB58A2">
            <w:pPr>
              <w:jc w:val="both"/>
              <w:rPr>
                <w:rFonts w:ascii="Arial" w:hAnsi="Arial" w:cs="Arial"/>
                <w:b/>
                <w:bCs/>
              </w:rPr>
            </w:pPr>
            <w:r>
              <w:rPr>
                <w:rFonts w:ascii="Arial" w:hAnsi="Arial" w:cs="Arial"/>
                <w:b/>
                <w:bCs/>
              </w:rPr>
              <w:t>ARTIKEL 3</w:t>
            </w:r>
          </w:p>
        </w:tc>
        <w:tc>
          <w:tcPr>
            <w:tcW w:w="4508" w:type="dxa"/>
          </w:tcPr>
          <w:p w14:paraId="7A3DCE3C" w14:textId="599098B8" w:rsidR="002B47C8" w:rsidRPr="00795FA2" w:rsidRDefault="00BC3E56" w:rsidP="00CB58A2">
            <w:pPr>
              <w:jc w:val="both"/>
              <w:rPr>
                <w:rFonts w:ascii="Arial" w:hAnsi="Arial" w:cs="Arial"/>
                <w:b/>
                <w:bCs/>
              </w:rPr>
            </w:pPr>
            <w:r>
              <w:rPr>
                <w:rFonts w:ascii="Arial" w:hAnsi="Arial" w:cs="Arial"/>
                <w:b/>
                <w:bCs/>
              </w:rPr>
              <w:t>ARTICLE 3</w:t>
            </w:r>
          </w:p>
        </w:tc>
      </w:tr>
      <w:tr w:rsidR="002B47C8" w:rsidRPr="00BC3E56" w14:paraId="69F8548B" w14:textId="77777777" w:rsidTr="00ED745E">
        <w:tc>
          <w:tcPr>
            <w:tcW w:w="4508" w:type="dxa"/>
          </w:tcPr>
          <w:p w14:paraId="77539F87"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De eindejaarspremie die toegekend wordt aan de in artikel 1 van deze  CAO bedoelde werknemers , wordt als volgt vastgesteld:  </w:t>
            </w:r>
          </w:p>
          <w:p w14:paraId="5E1BEDC2"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707D2515"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xml:space="preserve">Vanaf het jaar 2019, en uiterlijk betaalbaar, wat de eindejaarspremie betreft van het kalenderjaar 2019, in januari 2020, wordt door de werkgever een eindejaarspremie toegekend gelijk aan 100% van het tot € 2.152,89 begrensd bruto maandloon (vaste </w:t>
            </w:r>
            <w:r>
              <w:rPr>
                <w:rFonts w:ascii="Arial" w:eastAsia="Times New Roman" w:hAnsi="Arial" w:cs="Arial"/>
                <w:lang w:eastAsia="en-BE"/>
              </w:rPr>
              <w:lastRenderedPageBreak/>
              <w:t>wedde vermeerderd met eventuele gemiddelde commissielonen) van december 2019. </w:t>
            </w:r>
          </w:p>
          <w:p w14:paraId="0C048F44"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25F8E844"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Voor de handelsvertegenwoordiger, waarvan de wedde geheel of gedeeltelijk samengesteld is uit commissielonen, wordt de premie berekend op het maandgemiddelde van dit loon van de laatste twaalf maanden. </w:t>
            </w:r>
          </w:p>
          <w:p w14:paraId="58F333E5"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051AC511"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xml:space="preserve">Deze toekenning gebeurt in voorafname en/of na verrekening van alle andere, volgens bedrijfseigen modaliteiten, geldelijke of in geld waardeerbare toegekende voordelen, welke ook hun benaming </w:t>
            </w:r>
            <w:proofErr w:type="spellStart"/>
            <w:r>
              <w:rPr>
                <w:rFonts w:ascii="Arial" w:eastAsia="Times New Roman" w:hAnsi="Arial" w:cs="Arial"/>
                <w:lang w:eastAsia="en-BE"/>
              </w:rPr>
              <w:t>weze</w:t>
            </w:r>
            <w:proofErr w:type="spellEnd"/>
            <w:r>
              <w:rPr>
                <w:rFonts w:ascii="Arial" w:eastAsia="Times New Roman" w:hAnsi="Arial" w:cs="Arial"/>
                <w:lang w:eastAsia="en-BE"/>
              </w:rPr>
              <w:t>, waarop de werknemer ingevolge zijn dienstbetrekking recht heeft ten laste van de werkgever. </w:t>
            </w:r>
          </w:p>
          <w:p w14:paraId="722D5CEB" w14:textId="77777777" w:rsidR="002B47C8" w:rsidRPr="00795FA2" w:rsidRDefault="002B47C8" w:rsidP="00CB58A2">
            <w:pPr>
              <w:jc w:val="both"/>
              <w:rPr>
                <w:rFonts w:ascii="Arial" w:hAnsi="Arial" w:cs="Arial"/>
                <w:b/>
                <w:bCs/>
              </w:rPr>
            </w:pPr>
          </w:p>
        </w:tc>
        <w:tc>
          <w:tcPr>
            <w:tcW w:w="4508" w:type="dxa"/>
          </w:tcPr>
          <w:p w14:paraId="5E4B14C0" w14:textId="77777777" w:rsidR="00BC3E56" w:rsidRPr="00BC3E56" w:rsidRDefault="00BC3E56" w:rsidP="00BC3E56">
            <w:pPr>
              <w:jc w:val="both"/>
              <w:textAlignment w:val="baseline"/>
              <w:rPr>
                <w:rFonts w:ascii="Arial" w:eastAsia="Times New Roman" w:hAnsi="Arial" w:cs="Arial"/>
                <w:lang w:val="fr-BE" w:eastAsia="en-BE"/>
              </w:rPr>
            </w:pPr>
            <w:r>
              <w:rPr>
                <w:rFonts w:ascii="Arial" w:eastAsia="Times New Roman" w:hAnsi="Arial" w:cs="Arial"/>
                <w:lang w:val="fr-BE" w:eastAsia="en-BE"/>
              </w:rPr>
              <w:lastRenderedPageBreak/>
              <w:t>La prime de fin d’année octroyée aux employés visés à l’article 1er de la présente CCT est fixée comme suit :</w:t>
            </w:r>
            <w:r w:rsidRPr="00BC3E56">
              <w:rPr>
                <w:rFonts w:ascii="Arial" w:eastAsia="Times New Roman" w:hAnsi="Arial" w:cs="Arial"/>
                <w:lang w:val="fr-BE" w:eastAsia="en-BE"/>
              </w:rPr>
              <w:t> </w:t>
            </w:r>
          </w:p>
          <w:p w14:paraId="0167F1FB"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p>
          <w:p w14:paraId="0BBAD0B3"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 xml:space="preserve">A partir de l’année 2019, et payable au plus tard, en ce qui concerne la prime de fin d’année afférente à l’année civile 2019, en janvier 2020, une prime de fin d’année est octroyée par l’employeur, égale à 100% du traitement mensuel brut (rémunération fixe </w:t>
            </w:r>
            <w:r>
              <w:rPr>
                <w:rFonts w:ascii="Arial" w:eastAsia="Times New Roman" w:hAnsi="Arial" w:cs="Arial"/>
                <w:lang w:val="fr-BE" w:eastAsia="en-BE"/>
              </w:rPr>
              <w:lastRenderedPageBreak/>
              <w:t>augmentée de la moyenne d’éventuelles commissions) du mois de décembre 2019 plafonné à € 2.152,89.</w:t>
            </w:r>
            <w:r w:rsidRPr="00BC3E56">
              <w:rPr>
                <w:rFonts w:ascii="Arial" w:eastAsia="Times New Roman" w:hAnsi="Arial" w:cs="Arial"/>
                <w:lang w:val="fr-BE" w:eastAsia="en-BE"/>
              </w:rPr>
              <w:t> </w:t>
            </w:r>
          </w:p>
          <w:p w14:paraId="6939380D" w14:textId="77777777" w:rsidR="002B47C8" w:rsidRDefault="002B47C8" w:rsidP="00CB58A2">
            <w:pPr>
              <w:jc w:val="both"/>
              <w:rPr>
                <w:rFonts w:ascii="Arial" w:hAnsi="Arial" w:cs="Arial"/>
                <w:b/>
                <w:bCs/>
                <w:lang w:val="fr-BE"/>
              </w:rPr>
            </w:pPr>
          </w:p>
          <w:p w14:paraId="13B21EF2" w14:textId="50536815" w:rsidR="00BC3E56" w:rsidRDefault="00BC3E56" w:rsidP="00BC3E56">
            <w:pPr>
              <w:jc w:val="both"/>
              <w:textAlignment w:val="baseline"/>
              <w:rPr>
                <w:rFonts w:ascii="Arial" w:eastAsia="Times New Roman" w:hAnsi="Arial" w:cs="Arial"/>
                <w:lang w:val="fr-BE" w:eastAsia="en-BE"/>
              </w:rPr>
            </w:pPr>
            <w:r>
              <w:rPr>
                <w:rFonts w:ascii="Arial" w:eastAsia="Times New Roman" w:hAnsi="Arial" w:cs="Arial"/>
                <w:lang w:val="fr-BE" w:eastAsia="en-BE"/>
              </w:rPr>
              <w:t>Pour le représentant de commerce dont la rémunération est composée pour tout ou partie de commissions, la prime de fin d’année est calculée sur la moyenne mensuelle des commissions des douze derniers mois.</w:t>
            </w:r>
            <w:r w:rsidRPr="00BC3E56">
              <w:rPr>
                <w:rFonts w:ascii="Arial" w:eastAsia="Times New Roman" w:hAnsi="Arial" w:cs="Arial"/>
                <w:lang w:val="fr-BE" w:eastAsia="en-BE"/>
              </w:rPr>
              <w:t> </w:t>
            </w:r>
          </w:p>
          <w:p w14:paraId="2ACCD3AF"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p>
          <w:p w14:paraId="5152A106" w14:textId="3359E0EA" w:rsidR="00BC3E56" w:rsidRPr="00BC3E56" w:rsidRDefault="00BC3E56" w:rsidP="00BC3E56">
            <w:pPr>
              <w:jc w:val="both"/>
              <w:rPr>
                <w:rFonts w:ascii="Arial" w:hAnsi="Arial" w:cs="Arial"/>
                <w:b/>
                <w:bCs/>
                <w:lang w:val="fr-BE"/>
              </w:rPr>
            </w:pPr>
            <w:r>
              <w:rPr>
                <w:rFonts w:ascii="Arial" w:eastAsia="Times New Roman" w:hAnsi="Arial" w:cs="Arial"/>
                <w:lang w:val="fr-BE" w:eastAsia="en-BE"/>
              </w:rPr>
              <w:t>Cet octroi est à valoir sur tous autres avantages pécuniaires ou évaluables en argent, quelle qu’en soit la dénomination, octroyés ou à octroyer selon des modalités propres à l’entreprise et auxquels le travailleur a droit à charge de l’employeur en raison de son engagement.</w:t>
            </w:r>
            <w:r w:rsidRPr="00BC3E56">
              <w:rPr>
                <w:rFonts w:ascii="Arial" w:eastAsia="Times New Roman" w:hAnsi="Arial" w:cs="Arial"/>
                <w:lang w:val="fr-BE" w:eastAsia="en-BE"/>
              </w:rPr>
              <w:t> </w:t>
            </w:r>
          </w:p>
        </w:tc>
      </w:tr>
      <w:tr w:rsidR="002B47C8" w:rsidRPr="008D702B" w14:paraId="6A6BB470" w14:textId="77777777" w:rsidTr="00ED745E">
        <w:tc>
          <w:tcPr>
            <w:tcW w:w="4508" w:type="dxa"/>
          </w:tcPr>
          <w:p w14:paraId="76D051E0" w14:textId="0F2A4913" w:rsidR="002B47C8" w:rsidRPr="00795FA2" w:rsidRDefault="00795FA2" w:rsidP="00CB58A2">
            <w:pPr>
              <w:jc w:val="both"/>
              <w:rPr>
                <w:rFonts w:ascii="Arial" w:hAnsi="Arial" w:cs="Arial"/>
                <w:b/>
                <w:bCs/>
              </w:rPr>
            </w:pPr>
            <w:r>
              <w:rPr>
                <w:rFonts w:ascii="Arial" w:hAnsi="Arial" w:cs="Arial"/>
                <w:b/>
                <w:bCs/>
              </w:rPr>
              <w:lastRenderedPageBreak/>
              <w:t>ARTIKEL 4</w:t>
            </w:r>
          </w:p>
        </w:tc>
        <w:tc>
          <w:tcPr>
            <w:tcW w:w="4508" w:type="dxa"/>
          </w:tcPr>
          <w:p w14:paraId="30E20878" w14:textId="59C6E337" w:rsidR="002B47C8" w:rsidRPr="00795FA2" w:rsidRDefault="00BC3E56" w:rsidP="00CB58A2">
            <w:pPr>
              <w:jc w:val="both"/>
              <w:rPr>
                <w:rFonts w:ascii="Arial" w:hAnsi="Arial" w:cs="Arial"/>
                <w:b/>
                <w:bCs/>
              </w:rPr>
            </w:pPr>
            <w:r>
              <w:rPr>
                <w:rFonts w:ascii="Arial" w:hAnsi="Arial" w:cs="Arial"/>
                <w:b/>
                <w:bCs/>
              </w:rPr>
              <w:t>ARTICLE 4</w:t>
            </w:r>
          </w:p>
        </w:tc>
      </w:tr>
      <w:tr w:rsidR="00795FA2" w:rsidRPr="00BC3E56" w14:paraId="518BFA2D" w14:textId="77777777" w:rsidTr="00ED745E">
        <w:tc>
          <w:tcPr>
            <w:tcW w:w="4508" w:type="dxa"/>
          </w:tcPr>
          <w:p w14:paraId="6AB1A55A"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De werknemers die voldoen aan de in artikel 2 vermelde voorwaarden, hebben recht op de premie naar rato van één twaalfde van het bedrag per werkelijk gewerkte maand tijdens het beschouwde dienstjaar, lopende van 1 januari tot 31 december. </w:t>
            </w:r>
          </w:p>
          <w:p w14:paraId="7F005268" w14:textId="77777777" w:rsidR="00795FA2" w:rsidRPr="00795FA2" w:rsidRDefault="00795FA2" w:rsidP="00CB58A2">
            <w:pPr>
              <w:jc w:val="both"/>
              <w:rPr>
                <w:rFonts w:ascii="Arial" w:hAnsi="Arial" w:cs="Arial"/>
                <w:b/>
                <w:bCs/>
              </w:rPr>
            </w:pPr>
          </w:p>
        </w:tc>
        <w:tc>
          <w:tcPr>
            <w:tcW w:w="4508" w:type="dxa"/>
          </w:tcPr>
          <w:p w14:paraId="4A664C5A" w14:textId="76E6C1E0" w:rsidR="00795FA2" w:rsidRPr="00BC3E56" w:rsidRDefault="00BC3E56" w:rsidP="00CB58A2">
            <w:pPr>
              <w:jc w:val="both"/>
              <w:rPr>
                <w:rFonts w:ascii="Arial" w:hAnsi="Arial" w:cs="Arial"/>
                <w:b/>
                <w:bCs/>
                <w:lang w:val="fr-BE"/>
              </w:rPr>
            </w:pPr>
            <w:r>
              <w:rPr>
                <w:rFonts w:ascii="Arial" w:eastAsia="Times New Roman" w:hAnsi="Arial" w:cs="Arial"/>
                <w:lang w:val="fr-BE" w:eastAsia="en-BE"/>
              </w:rPr>
              <w:t xml:space="preserve">Les travailleurs qui remplissent les conditions mentionnées à l’article 2 ont droit à la prime au prorata d’un douzième du montant, par mois effectivement presté pendant l’exercice considéré, allant du </w:t>
            </w:r>
            <w:r w:rsidR="00A94A0C">
              <w:rPr>
                <w:rFonts w:ascii="Arial" w:eastAsia="Times New Roman" w:hAnsi="Arial" w:cs="Arial"/>
                <w:lang w:val="fr-BE" w:eastAsia="en-BE"/>
              </w:rPr>
              <w:t>1</w:t>
            </w:r>
            <w:r w:rsidR="00A94A0C" w:rsidRPr="00A94A0C">
              <w:rPr>
                <w:rFonts w:ascii="Arial" w:eastAsia="Times New Roman" w:hAnsi="Arial" w:cs="Arial"/>
                <w:vertAlign w:val="superscript"/>
                <w:lang w:val="fr-BE" w:eastAsia="en-BE"/>
              </w:rPr>
              <w:t>er</w:t>
            </w:r>
            <w:r w:rsidR="00A94A0C">
              <w:rPr>
                <w:rFonts w:ascii="Arial" w:eastAsia="Times New Roman" w:hAnsi="Arial" w:cs="Arial"/>
                <w:lang w:val="fr-BE" w:eastAsia="en-BE"/>
              </w:rPr>
              <w:t xml:space="preserve"> </w:t>
            </w:r>
            <w:r>
              <w:rPr>
                <w:rFonts w:ascii="Arial" w:eastAsia="Times New Roman" w:hAnsi="Arial" w:cs="Arial"/>
                <w:lang w:val="fr-BE" w:eastAsia="en-BE"/>
              </w:rPr>
              <w:t>janvier au 31 décembre</w:t>
            </w:r>
            <w:r>
              <w:rPr>
                <w:rFonts w:ascii="Arial" w:eastAsia="Times New Roman" w:hAnsi="Arial" w:cs="Arial"/>
                <w:lang w:val="fr-BE" w:eastAsia="en-BE"/>
              </w:rPr>
              <w:t>.</w:t>
            </w:r>
          </w:p>
        </w:tc>
      </w:tr>
      <w:tr w:rsidR="00795FA2" w:rsidRPr="008D702B" w14:paraId="20573A98" w14:textId="77777777" w:rsidTr="00ED745E">
        <w:tc>
          <w:tcPr>
            <w:tcW w:w="4508" w:type="dxa"/>
          </w:tcPr>
          <w:p w14:paraId="66B6F4F5" w14:textId="40BF3EC9" w:rsidR="00795FA2" w:rsidRPr="00795FA2" w:rsidRDefault="00795FA2" w:rsidP="00CB58A2">
            <w:pPr>
              <w:jc w:val="both"/>
              <w:rPr>
                <w:rFonts w:ascii="Arial" w:hAnsi="Arial" w:cs="Arial"/>
                <w:b/>
                <w:bCs/>
              </w:rPr>
            </w:pPr>
            <w:r>
              <w:rPr>
                <w:rFonts w:ascii="Arial" w:hAnsi="Arial" w:cs="Arial"/>
                <w:b/>
                <w:bCs/>
              </w:rPr>
              <w:t>ARTIKEL 5</w:t>
            </w:r>
          </w:p>
        </w:tc>
        <w:tc>
          <w:tcPr>
            <w:tcW w:w="4508" w:type="dxa"/>
          </w:tcPr>
          <w:p w14:paraId="13E05630" w14:textId="57BF611D" w:rsidR="00795FA2" w:rsidRPr="00795FA2" w:rsidRDefault="00BC3E56" w:rsidP="00CB58A2">
            <w:pPr>
              <w:jc w:val="both"/>
              <w:rPr>
                <w:rFonts w:ascii="Arial" w:hAnsi="Arial" w:cs="Arial"/>
                <w:b/>
                <w:bCs/>
              </w:rPr>
            </w:pPr>
            <w:r>
              <w:rPr>
                <w:rFonts w:ascii="Arial" w:hAnsi="Arial" w:cs="Arial"/>
                <w:b/>
                <w:bCs/>
              </w:rPr>
              <w:t>ARTICLE 5</w:t>
            </w:r>
          </w:p>
        </w:tc>
      </w:tr>
      <w:tr w:rsidR="00795FA2" w:rsidRPr="00BC3E56" w14:paraId="5C38BA3E" w14:textId="77777777" w:rsidTr="00ED745E">
        <w:tc>
          <w:tcPr>
            <w:tcW w:w="4508" w:type="dxa"/>
          </w:tcPr>
          <w:p w14:paraId="17F7EC89"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In geval van indiensttreding vóór de 16de dag van de maand, wordt deze maand gelijkgesteld met een volledig gewerkte maand.  </w:t>
            </w:r>
          </w:p>
          <w:p w14:paraId="1D39F47A"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5364A258"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De maand tijdens welke de arbeidsovereenkomst voor bedienden wordt beëindigd, wordt gelijkgesteld met een volledig gewerkte maand voor zover de overeenkomst wordt beëindigd na de 15de dag van de maand. </w:t>
            </w:r>
          </w:p>
          <w:p w14:paraId="4D6F93D0" w14:textId="77777777" w:rsidR="00795FA2" w:rsidRPr="00795FA2" w:rsidRDefault="00795FA2" w:rsidP="00CB58A2">
            <w:pPr>
              <w:jc w:val="both"/>
              <w:rPr>
                <w:rFonts w:ascii="Arial" w:hAnsi="Arial" w:cs="Arial"/>
                <w:b/>
                <w:bCs/>
              </w:rPr>
            </w:pPr>
          </w:p>
        </w:tc>
        <w:tc>
          <w:tcPr>
            <w:tcW w:w="4508" w:type="dxa"/>
          </w:tcPr>
          <w:p w14:paraId="47FEFA21" w14:textId="2CA5A3DB"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 xml:space="preserve">En cas d’engagement avant le </w:t>
            </w:r>
            <w:r w:rsidR="00A94A0C">
              <w:rPr>
                <w:rFonts w:ascii="Arial" w:eastAsia="Times New Roman" w:hAnsi="Arial" w:cs="Arial"/>
                <w:lang w:val="fr-BE" w:eastAsia="en-BE"/>
              </w:rPr>
              <w:t>16</w:t>
            </w:r>
            <w:r w:rsidR="00A94A0C" w:rsidRPr="00A94A0C">
              <w:rPr>
                <w:rFonts w:ascii="Arial" w:eastAsia="Times New Roman" w:hAnsi="Arial" w:cs="Arial"/>
                <w:vertAlign w:val="superscript"/>
                <w:lang w:val="fr-BE" w:eastAsia="en-BE"/>
              </w:rPr>
              <w:t>ième</w:t>
            </w:r>
            <w:r w:rsidR="00A94A0C">
              <w:rPr>
                <w:rFonts w:ascii="Arial" w:eastAsia="Times New Roman" w:hAnsi="Arial" w:cs="Arial"/>
                <w:lang w:val="fr-BE" w:eastAsia="en-BE"/>
              </w:rPr>
              <w:t xml:space="preserve"> </w:t>
            </w:r>
            <w:r>
              <w:rPr>
                <w:rFonts w:ascii="Arial" w:eastAsia="Times New Roman" w:hAnsi="Arial" w:cs="Arial"/>
                <w:lang w:val="fr-BE" w:eastAsia="en-BE"/>
              </w:rPr>
              <w:t>jour du mois, ce mois est assimilé à un mois presté complet.</w:t>
            </w:r>
            <w:r w:rsidRPr="00BC3E56">
              <w:rPr>
                <w:rFonts w:ascii="Arial" w:eastAsia="Times New Roman" w:hAnsi="Arial" w:cs="Arial"/>
                <w:lang w:val="fr-BE" w:eastAsia="en-BE"/>
              </w:rPr>
              <w:t> </w:t>
            </w:r>
          </w:p>
          <w:p w14:paraId="4C866E0D" w14:textId="094078AE" w:rsidR="00795FA2" w:rsidRPr="00BC3E56" w:rsidRDefault="00BC3E56" w:rsidP="00BC3E56">
            <w:pPr>
              <w:jc w:val="both"/>
              <w:rPr>
                <w:rFonts w:ascii="Arial" w:hAnsi="Arial" w:cs="Arial"/>
                <w:b/>
                <w:bCs/>
                <w:lang w:val="fr-BE"/>
              </w:rPr>
            </w:pPr>
            <w:r>
              <w:rPr>
                <w:rFonts w:ascii="Arial" w:eastAsia="Times New Roman" w:hAnsi="Arial" w:cs="Arial"/>
                <w:lang w:val="fr-BE" w:eastAsia="en-BE"/>
              </w:rPr>
              <w:t xml:space="preserve">Le mois au cours duquel le contrat d’emploi prend fin est assimilé à un mois complet, pour autant que le contrat prenne fin après le </w:t>
            </w:r>
            <w:r w:rsidR="00A94A0C">
              <w:rPr>
                <w:rFonts w:ascii="Arial" w:eastAsia="Times New Roman" w:hAnsi="Arial" w:cs="Arial"/>
                <w:lang w:val="fr-BE" w:eastAsia="en-BE"/>
              </w:rPr>
              <w:t>15</w:t>
            </w:r>
            <w:r w:rsidR="00A94A0C" w:rsidRPr="00A94A0C">
              <w:rPr>
                <w:rFonts w:ascii="Arial" w:eastAsia="Times New Roman" w:hAnsi="Arial" w:cs="Arial"/>
                <w:vertAlign w:val="superscript"/>
                <w:lang w:val="fr-BE" w:eastAsia="en-BE"/>
              </w:rPr>
              <w:t>ième</w:t>
            </w:r>
            <w:r w:rsidR="00A94A0C">
              <w:rPr>
                <w:rFonts w:ascii="Arial" w:eastAsia="Times New Roman" w:hAnsi="Arial" w:cs="Arial"/>
                <w:lang w:val="fr-BE" w:eastAsia="en-BE"/>
              </w:rPr>
              <w:t xml:space="preserve"> </w:t>
            </w:r>
            <w:r>
              <w:rPr>
                <w:rFonts w:ascii="Arial" w:eastAsia="Times New Roman" w:hAnsi="Arial" w:cs="Arial"/>
                <w:lang w:val="fr-BE" w:eastAsia="en-BE"/>
              </w:rPr>
              <w:t>jour du mois</w:t>
            </w:r>
          </w:p>
        </w:tc>
      </w:tr>
      <w:tr w:rsidR="00795FA2" w:rsidRPr="008D702B" w14:paraId="5652D1B4" w14:textId="77777777" w:rsidTr="00ED745E">
        <w:tc>
          <w:tcPr>
            <w:tcW w:w="4508" w:type="dxa"/>
          </w:tcPr>
          <w:p w14:paraId="29E2C1E8" w14:textId="3C2CA13B" w:rsidR="00795FA2" w:rsidRPr="00795FA2" w:rsidRDefault="00795FA2" w:rsidP="00CB58A2">
            <w:pPr>
              <w:jc w:val="both"/>
              <w:rPr>
                <w:rFonts w:ascii="Arial" w:hAnsi="Arial" w:cs="Arial"/>
                <w:b/>
                <w:bCs/>
              </w:rPr>
            </w:pPr>
            <w:r>
              <w:rPr>
                <w:rFonts w:ascii="Arial" w:hAnsi="Arial" w:cs="Arial"/>
                <w:b/>
                <w:bCs/>
              </w:rPr>
              <w:t>Afwijkingen</w:t>
            </w:r>
          </w:p>
        </w:tc>
        <w:tc>
          <w:tcPr>
            <w:tcW w:w="4508" w:type="dxa"/>
          </w:tcPr>
          <w:p w14:paraId="7B35B44C" w14:textId="7B3670D1" w:rsidR="00795FA2" w:rsidRPr="00795FA2" w:rsidRDefault="00BC3E56" w:rsidP="00CB58A2">
            <w:pPr>
              <w:jc w:val="both"/>
              <w:rPr>
                <w:rFonts w:ascii="Arial" w:hAnsi="Arial" w:cs="Arial"/>
                <w:b/>
                <w:bCs/>
              </w:rPr>
            </w:pPr>
            <w:proofErr w:type="spellStart"/>
            <w:r>
              <w:rPr>
                <w:rFonts w:ascii="Arial" w:hAnsi="Arial" w:cs="Arial"/>
                <w:b/>
                <w:bCs/>
              </w:rPr>
              <w:t>Dérogations</w:t>
            </w:r>
            <w:proofErr w:type="spellEnd"/>
          </w:p>
        </w:tc>
      </w:tr>
      <w:tr w:rsidR="00795FA2" w:rsidRPr="008D702B" w14:paraId="43F56752" w14:textId="77777777" w:rsidTr="00ED745E">
        <w:tc>
          <w:tcPr>
            <w:tcW w:w="4508" w:type="dxa"/>
          </w:tcPr>
          <w:p w14:paraId="4243B73D" w14:textId="2CA02465" w:rsidR="00795FA2" w:rsidRPr="00795FA2" w:rsidRDefault="00795FA2" w:rsidP="00CB58A2">
            <w:pPr>
              <w:jc w:val="both"/>
              <w:rPr>
                <w:rFonts w:ascii="Arial" w:hAnsi="Arial" w:cs="Arial"/>
                <w:b/>
                <w:bCs/>
              </w:rPr>
            </w:pPr>
            <w:r>
              <w:rPr>
                <w:rFonts w:ascii="Arial" w:hAnsi="Arial" w:cs="Arial"/>
                <w:b/>
                <w:bCs/>
              </w:rPr>
              <w:t>ARTIKEL 6</w:t>
            </w:r>
          </w:p>
        </w:tc>
        <w:tc>
          <w:tcPr>
            <w:tcW w:w="4508" w:type="dxa"/>
          </w:tcPr>
          <w:p w14:paraId="3AD978A0" w14:textId="236E2386" w:rsidR="00795FA2" w:rsidRPr="00795FA2" w:rsidRDefault="00BC3E56" w:rsidP="00CB58A2">
            <w:pPr>
              <w:jc w:val="both"/>
              <w:rPr>
                <w:rFonts w:ascii="Arial" w:hAnsi="Arial" w:cs="Arial"/>
                <w:b/>
                <w:bCs/>
              </w:rPr>
            </w:pPr>
            <w:r>
              <w:rPr>
                <w:rFonts w:ascii="Arial" w:hAnsi="Arial" w:cs="Arial"/>
                <w:b/>
                <w:bCs/>
              </w:rPr>
              <w:t>ARTICLE 6</w:t>
            </w:r>
          </w:p>
        </w:tc>
      </w:tr>
      <w:tr w:rsidR="00795FA2" w:rsidRPr="00BC3E56" w14:paraId="2A6AE2DB" w14:textId="77777777" w:rsidTr="00ED745E">
        <w:tc>
          <w:tcPr>
            <w:tcW w:w="4508" w:type="dxa"/>
          </w:tcPr>
          <w:p w14:paraId="38897C6C" w14:textId="68D0DB01" w:rsidR="00795FA2" w:rsidRPr="00795FA2" w:rsidRDefault="00795FA2" w:rsidP="00CB58A2">
            <w:pPr>
              <w:jc w:val="both"/>
              <w:rPr>
                <w:rFonts w:ascii="Arial" w:hAnsi="Arial" w:cs="Arial"/>
                <w:b/>
                <w:bCs/>
              </w:rPr>
            </w:pPr>
            <w:r>
              <w:rPr>
                <w:rFonts w:ascii="Arial" w:eastAsia="Times New Roman" w:hAnsi="Arial" w:cs="Arial"/>
                <w:lang w:eastAsia="en-BE"/>
              </w:rPr>
              <w:t xml:space="preserve">De werknemers waarvan de arbeidsovereenkomst tijdens het beschouwde dienstjaar wordt beëindigd, met uitsluiting van deze welke zelf ontslag hebben genomen vooraleer zij minstens één jaar anciënniteit in de onderneming tellen op het einde van de arbeidsovereenkomst, en met uitsluiting van deze welke door de werkgever worden ontslagen om dringende reden, genieten de premie naar rato van het </w:t>
            </w:r>
            <w:r>
              <w:rPr>
                <w:rFonts w:ascii="Arial" w:eastAsia="Times New Roman" w:hAnsi="Arial" w:cs="Arial"/>
                <w:lang w:eastAsia="en-BE"/>
              </w:rPr>
              <w:lastRenderedPageBreak/>
              <w:t>aantal maanden werkelijke arbeidsprestaties tijdens dit dienstjaar, voor zover zij zes maanden anciënniteit tellen in de onderneming op het ogenblik dat de opzegging wordt betekend</w:t>
            </w:r>
          </w:p>
        </w:tc>
        <w:tc>
          <w:tcPr>
            <w:tcW w:w="4508" w:type="dxa"/>
          </w:tcPr>
          <w:p w14:paraId="0D770797" w14:textId="229AD3A4" w:rsidR="00795FA2" w:rsidRPr="00BC3E56" w:rsidRDefault="00BC3E56" w:rsidP="00CB58A2">
            <w:pPr>
              <w:jc w:val="both"/>
              <w:rPr>
                <w:rFonts w:ascii="Arial" w:hAnsi="Arial" w:cs="Arial"/>
                <w:b/>
                <w:bCs/>
                <w:lang w:val="fr-BE"/>
              </w:rPr>
            </w:pPr>
            <w:r>
              <w:rPr>
                <w:rFonts w:ascii="Arial" w:eastAsia="Times New Roman" w:hAnsi="Arial" w:cs="Arial"/>
                <w:lang w:val="fr-BE" w:eastAsia="en-BE"/>
              </w:rPr>
              <w:lastRenderedPageBreak/>
              <w:t xml:space="preserve">Les travailleurs dont le contrat de travail est résilié pendant l’exercice considéré, à l’exclusion de ceux qui ont donné leur démission avant de compter au moins un an d’ancienneté dans l’entreprise au terme du contrat de travail et à l’exclusion de ceux qui ont été licenciés par leur employeur pour motif grave, bénéficient de la prime au prorata du nombre de mois de prestations effectives de travail pendant cet exercice, </w:t>
            </w:r>
            <w:r>
              <w:rPr>
                <w:rFonts w:ascii="Arial" w:eastAsia="Times New Roman" w:hAnsi="Arial" w:cs="Arial"/>
                <w:lang w:val="fr-BE" w:eastAsia="en-BE"/>
              </w:rPr>
              <w:lastRenderedPageBreak/>
              <w:t>pour autant qu’ils comptent six mois d’ancienneté dans l’entreprise au moment de la notification du préavis.</w:t>
            </w:r>
            <w:r w:rsidRPr="00BC3E56">
              <w:rPr>
                <w:rFonts w:ascii="Arial" w:eastAsia="Times New Roman" w:hAnsi="Arial" w:cs="Arial"/>
                <w:lang w:val="fr-BE" w:eastAsia="en-BE"/>
              </w:rPr>
              <w:t> </w:t>
            </w:r>
          </w:p>
        </w:tc>
      </w:tr>
      <w:tr w:rsidR="00795FA2" w:rsidRPr="008D702B" w14:paraId="1EA6959E" w14:textId="77777777" w:rsidTr="00ED745E">
        <w:tc>
          <w:tcPr>
            <w:tcW w:w="4508" w:type="dxa"/>
          </w:tcPr>
          <w:p w14:paraId="4905B240" w14:textId="194FA648" w:rsidR="00795FA2" w:rsidRPr="00795FA2" w:rsidRDefault="00795FA2" w:rsidP="00CB58A2">
            <w:pPr>
              <w:jc w:val="both"/>
              <w:rPr>
                <w:rFonts w:ascii="Arial" w:hAnsi="Arial" w:cs="Arial"/>
                <w:b/>
                <w:bCs/>
              </w:rPr>
            </w:pPr>
            <w:r>
              <w:rPr>
                <w:rFonts w:ascii="Arial" w:hAnsi="Arial" w:cs="Arial"/>
                <w:b/>
                <w:bCs/>
              </w:rPr>
              <w:lastRenderedPageBreak/>
              <w:t>ARTIKEL 7</w:t>
            </w:r>
          </w:p>
        </w:tc>
        <w:tc>
          <w:tcPr>
            <w:tcW w:w="4508" w:type="dxa"/>
          </w:tcPr>
          <w:p w14:paraId="7A941996" w14:textId="58F5EE6A" w:rsidR="00795FA2" w:rsidRPr="00795FA2" w:rsidRDefault="00BC3E56" w:rsidP="00CB58A2">
            <w:pPr>
              <w:jc w:val="both"/>
              <w:rPr>
                <w:rFonts w:ascii="Arial" w:hAnsi="Arial" w:cs="Arial"/>
                <w:b/>
                <w:bCs/>
              </w:rPr>
            </w:pPr>
            <w:r>
              <w:rPr>
                <w:rFonts w:ascii="Arial" w:hAnsi="Arial" w:cs="Arial"/>
                <w:b/>
                <w:bCs/>
              </w:rPr>
              <w:t>ARTICLE 7</w:t>
            </w:r>
          </w:p>
        </w:tc>
      </w:tr>
      <w:tr w:rsidR="00795FA2" w:rsidRPr="00BC3E56" w14:paraId="3880AE07" w14:textId="77777777" w:rsidTr="00ED745E">
        <w:tc>
          <w:tcPr>
            <w:tcW w:w="4508" w:type="dxa"/>
          </w:tcPr>
          <w:p w14:paraId="00A63FF3"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De gepensioneerde werknemer alsmede de rechtverkrijgenden van een overleden werknemer, genieten de premie onder dezelfde voorwaarden als vermeld in artikel 6. </w:t>
            </w:r>
          </w:p>
          <w:p w14:paraId="04F00C72"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081A299D"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Onder “rechtverkrijgenden” wordt verstaan: </w:t>
            </w:r>
          </w:p>
          <w:p w14:paraId="6EBB33D9" w14:textId="77777777" w:rsidR="00795FA2" w:rsidRDefault="00795FA2" w:rsidP="00795FA2">
            <w:pPr>
              <w:numPr>
                <w:ilvl w:val="0"/>
                <w:numId w:val="1"/>
              </w:numPr>
              <w:ind w:left="360" w:firstLine="0"/>
              <w:jc w:val="both"/>
              <w:textAlignment w:val="baseline"/>
              <w:rPr>
                <w:rFonts w:ascii="Arial" w:eastAsia="Times New Roman" w:hAnsi="Arial" w:cs="Arial"/>
                <w:lang w:eastAsia="en-BE"/>
              </w:rPr>
            </w:pPr>
            <w:r>
              <w:rPr>
                <w:rFonts w:ascii="Arial" w:eastAsia="Times New Roman" w:hAnsi="Arial" w:cs="Arial"/>
                <w:lang w:eastAsia="en-BE"/>
              </w:rPr>
              <w:t>de overlevende echtgenoot;  </w:t>
            </w:r>
          </w:p>
          <w:p w14:paraId="1EC0F52A" w14:textId="77777777" w:rsidR="00795FA2" w:rsidRDefault="00795FA2" w:rsidP="00795FA2">
            <w:pPr>
              <w:numPr>
                <w:ilvl w:val="0"/>
                <w:numId w:val="1"/>
              </w:numPr>
              <w:ind w:left="360" w:firstLine="0"/>
              <w:jc w:val="both"/>
              <w:textAlignment w:val="baseline"/>
              <w:rPr>
                <w:rFonts w:ascii="Arial" w:eastAsia="Times New Roman" w:hAnsi="Arial" w:cs="Arial"/>
                <w:lang w:eastAsia="en-BE"/>
              </w:rPr>
            </w:pPr>
            <w:r>
              <w:rPr>
                <w:rFonts w:ascii="Arial" w:eastAsia="Times New Roman" w:hAnsi="Arial" w:cs="Arial"/>
                <w:lang w:eastAsia="en-BE"/>
              </w:rPr>
              <w:t>bij zijn ontstentenis, de minderjarige kinderen van de overledene die met hem samenwoonden;  </w:t>
            </w:r>
          </w:p>
          <w:p w14:paraId="6B8A1682" w14:textId="77777777" w:rsidR="00795FA2" w:rsidRDefault="00795FA2" w:rsidP="00795FA2">
            <w:pPr>
              <w:numPr>
                <w:ilvl w:val="0"/>
                <w:numId w:val="1"/>
              </w:numPr>
              <w:ind w:left="360" w:firstLine="0"/>
              <w:jc w:val="both"/>
              <w:textAlignment w:val="baseline"/>
              <w:rPr>
                <w:rFonts w:ascii="Arial" w:eastAsia="Times New Roman" w:hAnsi="Arial" w:cs="Arial"/>
                <w:lang w:eastAsia="en-BE"/>
              </w:rPr>
            </w:pPr>
            <w:r>
              <w:rPr>
                <w:rFonts w:ascii="Arial" w:eastAsia="Times New Roman" w:hAnsi="Arial" w:cs="Arial"/>
                <w:lang w:eastAsia="en-BE"/>
              </w:rPr>
              <w:t>bij hun ontstentenis, de ouders van de overledene, wier steun hij was. </w:t>
            </w:r>
          </w:p>
          <w:p w14:paraId="77C68744" w14:textId="77777777" w:rsidR="00795FA2" w:rsidRPr="00795FA2" w:rsidRDefault="00795FA2" w:rsidP="00CB58A2">
            <w:pPr>
              <w:jc w:val="both"/>
              <w:rPr>
                <w:rFonts w:ascii="Arial" w:hAnsi="Arial" w:cs="Arial"/>
                <w:b/>
                <w:bCs/>
              </w:rPr>
            </w:pPr>
          </w:p>
        </w:tc>
        <w:tc>
          <w:tcPr>
            <w:tcW w:w="4508" w:type="dxa"/>
          </w:tcPr>
          <w:p w14:paraId="6A7BFD3C"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Les travailleurs pensionnés, ainsi que les ayants droit d’un travailleur décédé, bénéficient de la prime aux mêmes conditions que celles mentionnées à l’article 6.</w:t>
            </w:r>
            <w:r w:rsidRPr="00BC3E56">
              <w:rPr>
                <w:rFonts w:ascii="Arial" w:eastAsia="Times New Roman" w:hAnsi="Arial" w:cs="Arial"/>
                <w:lang w:val="fr-BE" w:eastAsia="en-BE"/>
              </w:rPr>
              <w:t> </w:t>
            </w:r>
          </w:p>
          <w:p w14:paraId="31AED10C" w14:textId="2CB40FBD"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 xml:space="preserve">Par </w:t>
            </w:r>
            <w:r w:rsidR="00F05B16">
              <w:rPr>
                <w:rFonts w:ascii="Arial" w:eastAsia="Times New Roman" w:hAnsi="Arial" w:cs="Arial"/>
                <w:lang w:val="fr-BE" w:eastAsia="en-BE"/>
              </w:rPr>
              <w:t>« </w:t>
            </w:r>
            <w:r>
              <w:rPr>
                <w:rFonts w:ascii="Arial" w:eastAsia="Times New Roman" w:hAnsi="Arial" w:cs="Arial"/>
                <w:lang w:val="fr-BE" w:eastAsia="en-BE"/>
              </w:rPr>
              <w:t>ayants droit</w:t>
            </w:r>
            <w:r w:rsidR="00F05B16">
              <w:rPr>
                <w:rFonts w:ascii="Arial" w:eastAsia="Times New Roman" w:hAnsi="Arial" w:cs="Arial"/>
                <w:lang w:val="fr-BE" w:eastAsia="en-BE"/>
              </w:rPr>
              <w:t> »</w:t>
            </w:r>
            <w:r>
              <w:rPr>
                <w:rFonts w:ascii="Arial" w:eastAsia="Times New Roman" w:hAnsi="Arial" w:cs="Arial"/>
                <w:lang w:val="fr-BE" w:eastAsia="en-BE"/>
              </w:rPr>
              <w:t>, on entend : </w:t>
            </w:r>
            <w:r w:rsidRPr="00BC3E56">
              <w:rPr>
                <w:rFonts w:ascii="Arial" w:eastAsia="Times New Roman" w:hAnsi="Arial" w:cs="Arial"/>
                <w:lang w:val="fr-BE" w:eastAsia="en-BE"/>
              </w:rPr>
              <w:t> </w:t>
            </w:r>
          </w:p>
          <w:p w14:paraId="1A968291" w14:textId="77777777" w:rsidR="00BC3E56" w:rsidRDefault="00BC3E56" w:rsidP="00BC3E56">
            <w:pPr>
              <w:numPr>
                <w:ilvl w:val="0"/>
                <w:numId w:val="3"/>
              </w:numPr>
              <w:ind w:left="360" w:firstLine="0"/>
              <w:jc w:val="both"/>
              <w:textAlignment w:val="baseline"/>
              <w:rPr>
                <w:rFonts w:ascii="Arial" w:eastAsia="Times New Roman" w:hAnsi="Arial" w:cs="Arial"/>
                <w:lang w:eastAsia="en-BE"/>
              </w:rPr>
            </w:pPr>
            <w:r>
              <w:rPr>
                <w:rFonts w:ascii="Arial" w:eastAsia="Times New Roman" w:hAnsi="Arial" w:cs="Arial"/>
                <w:lang w:val="fr-BE" w:eastAsia="en-BE"/>
              </w:rPr>
              <w:t>le conjoint survivant ; </w:t>
            </w:r>
            <w:r>
              <w:rPr>
                <w:rFonts w:ascii="Arial" w:eastAsia="Times New Roman" w:hAnsi="Arial" w:cs="Arial"/>
                <w:lang w:eastAsia="en-BE"/>
              </w:rPr>
              <w:t> </w:t>
            </w:r>
          </w:p>
          <w:p w14:paraId="1B1BB9E9" w14:textId="7592860B" w:rsidR="00BC3E56" w:rsidRPr="00BC3E56" w:rsidRDefault="00BC3E56" w:rsidP="00BC3E56">
            <w:pPr>
              <w:numPr>
                <w:ilvl w:val="0"/>
                <w:numId w:val="3"/>
              </w:numPr>
              <w:ind w:left="360" w:firstLine="0"/>
              <w:jc w:val="both"/>
              <w:textAlignment w:val="baseline"/>
              <w:rPr>
                <w:rFonts w:ascii="Arial" w:eastAsia="Times New Roman" w:hAnsi="Arial" w:cs="Arial"/>
                <w:lang w:val="fr-BE" w:eastAsia="en-BE"/>
              </w:rPr>
            </w:pPr>
            <w:r>
              <w:rPr>
                <w:rFonts w:ascii="Arial" w:eastAsia="Times New Roman" w:hAnsi="Arial" w:cs="Arial"/>
                <w:lang w:val="fr-BE" w:eastAsia="en-BE"/>
              </w:rPr>
              <w:t xml:space="preserve">à son défaut, les enfants mineurs d’âge du défunt qui cohabitaient avec </w:t>
            </w:r>
            <w:r w:rsidR="00F05B16">
              <w:rPr>
                <w:rFonts w:ascii="Arial" w:eastAsia="Times New Roman" w:hAnsi="Arial" w:cs="Arial"/>
                <w:lang w:val="fr-BE" w:eastAsia="en-BE"/>
              </w:rPr>
              <w:t xml:space="preserve">   </w:t>
            </w:r>
            <w:r>
              <w:rPr>
                <w:rFonts w:ascii="Arial" w:eastAsia="Times New Roman" w:hAnsi="Arial" w:cs="Arial"/>
                <w:lang w:val="fr-BE" w:eastAsia="en-BE"/>
              </w:rPr>
              <w:t>lui ; </w:t>
            </w:r>
            <w:r w:rsidRPr="00BC3E56">
              <w:rPr>
                <w:rFonts w:ascii="Arial" w:eastAsia="Times New Roman" w:hAnsi="Arial" w:cs="Arial"/>
                <w:lang w:val="fr-BE" w:eastAsia="en-BE"/>
              </w:rPr>
              <w:t> </w:t>
            </w:r>
          </w:p>
          <w:p w14:paraId="11B7F331" w14:textId="77777777" w:rsidR="00BC3E56" w:rsidRPr="00BC3E56" w:rsidRDefault="00BC3E56" w:rsidP="00BC3E56">
            <w:pPr>
              <w:numPr>
                <w:ilvl w:val="0"/>
                <w:numId w:val="3"/>
              </w:numPr>
              <w:ind w:left="360" w:firstLine="0"/>
              <w:jc w:val="both"/>
              <w:textAlignment w:val="baseline"/>
              <w:rPr>
                <w:rFonts w:ascii="Arial" w:eastAsia="Times New Roman" w:hAnsi="Arial" w:cs="Arial"/>
                <w:lang w:val="fr-BE" w:eastAsia="en-BE"/>
              </w:rPr>
            </w:pPr>
            <w:r>
              <w:rPr>
                <w:rFonts w:ascii="Arial" w:eastAsia="Times New Roman" w:hAnsi="Arial" w:cs="Arial"/>
                <w:lang w:val="fr-BE" w:eastAsia="en-BE"/>
              </w:rPr>
              <w:t>à leur défaut, les parents du défunt, dont il était le soutien.</w:t>
            </w:r>
            <w:r w:rsidRPr="00BC3E56">
              <w:rPr>
                <w:rFonts w:ascii="Arial" w:eastAsia="Times New Roman" w:hAnsi="Arial" w:cs="Arial"/>
                <w:lang w:val="fr-BE" w:eastAsia="en-BE"/>
              </w:rPr>
              <w:t> </w:t>
            </w:r>
          </w:p>
          <w:p w14:paraId="164036BD" w14:textId="77777777" w:rsidR="00795FA2" w:rsidRPr="00BC3E56" w:rsidRDefault="00795FA2" w:rsidP="00CB58A2">
            <w:pPr>
              <w:jc w:val="both"/>
              <w:rPr>
                <w:rFonts w:ascii="Arial" w:hAnsi="Arial" w:cs="Arial"/>
                <w:b/>
                <w:bCs/>
                <w:lang w:val="fr-BE"/>
              </w:rPr>
            </w:pPr>
          </w:p>
        </w:tc>
      </w:tr>
      <w:tr w:rsidR="00795FA2" w:rsidRPr="008D702B" w14:paraId="111E230D" w14:textId="77777777" w:rsidTr="00ED745E">
        <w:tc>
          <w:tcPr>
            <w:tcW w:w="4508" w:type="dxa"/>
          </w:tcPr>
          <w:p w14:paraId="3BA11351" w14:textId="61A914A5" w:rsidR="00795FA2" w:rsidRPr="00795FA2" w:rsidRDefault="00795FA2" w:rsidP="00CB58A2">
            <w:pPr>
              <w:jc w:val="both"/>
              <w:rPr>
                <w:rFonts w:ascii="Arial" w:hAnsi="Arial" w:cs="Arial"/>
                <w:b/>
                <w:bCs/>
              </w:rPr>
            </w:pPr>
            <w:r>
              <w:rPr>
                <w:rFonts w:ascii="Arial" w:hAnsi="Arial" w:cs="Arial"/>
                <w:b/>
                <w:bCs/>
              </w:rPr>
              <w:t>Gelijkstellingen</w:t>
            </w:r>
          </w:p>
        </w:tc>
        <w:tc>
          <w:tcPr>
            <w:tcW w:w="4508" w:type="dxa"/>
          </w:tcPr>
          <w:p w14:paraId="2D6EDCEC" w14:textId="27B7578D" w:rsidR="00795FA2" w:rsidRPr="00795FA2" w:rsidRDefault="00BC3E56" w:rsidP="00CB58A2">
            <w:pPr>
              <w:jc w:val="both"/>
              <w:rPr>
                <w:rFonts w:ascii="Arial" w:hAnsi="Arial" w:cs="Arial"/>
                <w:b/>
                <w:bCs/>
              </w:rPr>
            </w:pPr>
            <w:proofErr w:type="spellStart"/>
            <w:r>
              <w:rPr>
                <w:rFonts w:ascii="Arial" w:hAnsi="Arial" w:cs="Arial"/>
                <w:b/>
                <w:bCs/>
              </w:rPr>
              <w:t>Assimilations</w:t>
            </w:r>
            <w:proofErr w:type="spellEnd"/>
          </w:p>
        </w:tc>
      </w:tr>
      <w:tr w:rsidR="00795FA2" w:rsidRPr="008D702B" w14:paraId="56A1940D" w14:textId="77777777" w:rsidTr="00ED745E">
        <w:tc>
          <w:tcPr>
            <w:tcW w:w="4508" w:type="dxa"/>
          </w:tcPr>
          <w:p w14:paraId="4C3370FB" w14:textId="0C5A2F26" w:rsidR="00795FA2" w:rsidRPr="00795FA2" w:rsidRDefault="00795FA2" w:rsidP="00CB58A2">
            <w:pPr>
              <w:jc w:val="both"/>
              <w:rPr>
                <w:rFonts w:ascii="Arial" w:hAnsi="Arial" w:cs="Arial"/>
                <w:b/>
                <w:bCs/>
              </w:rPr>
            </w:pPr>
            <w:r>
              <w:rPr>
                <w:rFonts w:ascii="Arial" w:hAnsi="Arial" w:cs="Arial"/>
                <w:b/>
                <w:bCs/>
              </w:rPr>
              <w:t>ARTIKEL 8</w:t>
            </w:r>
          </w:p>
        </w:tc>
        <w:tc>
          <w:tcPr>
            <w:tcW w:w="4508" w:type="dxa"/>
          </w:tcPr>
          <w:p w14:paraId="6C821D0E" w14:textId="7018978F" w:rsidR="00795FA2" w:rsidRPr="00795FA2" w:rsidRDefault="00BC3E56" w:rsidP="00CB58A2">
            <w:pPr>
              <w:jc w:val="both"/>
              <w:rPr>
                <w:rFonts w:ascii="Arial" w:hAnsi="Arial" w:cs="Arial"/>
                <w:b/>
                <w:bCs/>
              </w:rPr>
            </w:pPr>
            <w:r>
              <w:rPr>
                <w:rFonts w:ascii="Arial" w:hAnsi="Arial" w:cs="Arial"/>
                <w:b/>
                <w:bCs/>
              </w:rPr>
              <w:t>ARTICLE 8</w:t>
            </w:r>
          </w:p>
        </w:tc>
      </w:tr>
      <w:tr w:rsidR="00795FA2" w:rsidRPr="00BC3E56" w14:paraId="217D938F" w14:textId="77777777" w:rsidTr="00ED745E">
        <w:tc>
          <w:tcPr>
            <w:tcW w:w="4508" w:type="dxa"/>
          </w:tcPr>
          <w:p w14:paraId="3CBB5C84"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Worden gelijkgesteld met werkelijke arbeid: </w:t>
            </w:r>
          </w:p>
          <w:p w14:paraId="7AD8F8F5" w14:textId="77777777" w:rsidR="00795FA2" w:rsidRDefault="00795FA2" w:rsidP="00795FA2">
            <w:pPr>
              <w:numPr>
                <w:ilvl w:val="0"/>
                <w:numId w:val="2"/>
              </w:numPr>
              <w:ind w:left="360" w:firstLine="0"/>
              <w:jc w:val="both"/>
              <w:textAlignment w:val="baseline"/>
              <w:rPr>
                <w:rFonts w:ascii="Arial" w:eastAsia="Times New Roman" w:hAnsi="Arial" w:cs="Arial"/>
                <w:lang w:eastAsia="en-BE"/>
              </w:rPr>
            </w:pPr>
            <w:r>
              <w:rPr>
                <w:rFonts w:ascii="Arial" w:eastAsia="Times New Roman" w:hAnsi="Arial" w:cs="Arial"/>
                <w:lang w:eastAsia="en-BE"/>
              </w:rPr>
              <w:t>de afwezigheden te wijten aan een beroepsziekte, een arbeidsongeval of ongeval overkomen op de weg naar of van het werk, tot een maximumduur van twaalf maanden en voor zover zij erkend zijn door het verzekeringsorganisme; </w:t>
            </w:r>
          </w:p>
          <w:p w14:paraId="70D3DA5E" w14:textId="77777777" w:rsidR="00795FA2" w:rsidRDefault="00795FA2" w:rsidP="00795FA2">
            <w:pPr>
              <w:numPr>
                <w:ilvl w:val="0"/>
                <w:numId w:val="2"/>
              </w:numPr>
              <w:ind w:left="360" w:firstLine="0"/>
              <w:jc w:val="both"/>
              <w:textAlignment w:val="baseline"/>
              <w:rPr>
                <w:rFonts w:ascii="Arial" w:eastAsia="Times New Roman" w:hAnsi="Arial" w:cs="Arial"/>
                <w:lang w:eastAsia="en-BE"/>
              </w:rPr>
            </w:pPr>
            <w:r>
              <w:rPr>
                <w:rFonts w:ascii="Arial" w:eastAsia="Times New Roman" w:hAnsi="Arial" w:cs="Arial"/>
                <w:lang w:eastAsia="en-BE"/>
              </w:rPr>
              <w:t>de afwezigheden wegens ziekte, gerechtvaardigd door een medisch getuigschrift en erkend door het verzekeringsorganisme, tot een maximumperiode van zes maanden;  </w:t>
            </w:r>
          </w:p>
          <w:p w14:paraId="08477035" w14:textId="77777777" w:rsidR="00795FA2" w:rsidRPr="00795FA2" w:rsidRDefault="00795FA2" w:rsidP="00795FA2">
            <w:pPr>
              <w:numPr>
                <w:ilvl w:val="0"/>
                <w:numId w:val="2"/>
              </w:numPr>
              <w:ind w:left="360" w:firstLine="0"/>
              <w:jc w:val="both"/>
              <w:textAlignment w:val="baseline"/>
              <w:rPr>
                <w:rFonts w:ascii="Arial" w:hAnsi="Arial" w:cs="Arial"/>
                <w:b/>
                <w:bCs/>
              </w:rPr>
            </w:pPr>
            <w:r>
              <w:rPr>
                <w:rFonts w:ascii="Arial" w:eastAsia="Times New Roman" w:hAnsi="Arial" w:cs="Arial"/>
                <w:lang w:eastAsia="en-BE"/>
              </w:rPr>
              <w:t>de afwezigheden wegens zwangerschapsverlof, gerechtvaardigd door een medisch getuigschrift en erkend door het verzekeringsorganisme;  </w:t>
            </w:r>
          </w:p>
          <w:p w14:paraId="7763E113" w14:textId="37A84CCA" w:rsidR="00795FA2" w:rsidRPr="00795FA2" w:rsidRDefault="00795FA2" w:rsidP="00795FA2">
            <w:pPr>
              <w:numPr>
                <w:ilvl w:val="0"/>
                <w:numId w:val="2"/>
              </w:numPr>
              <w:ind w:left="360" w:firstLine="0"/>
              <w:jc w:val="both"/>
              <w:textAlignment w:val="baseline"/>
              <w:rPr>
                <w:rFonts w:ascii="Arial" w:hAnsi="Arial" w:cs="Arial"/>
                <w:b/>
                <w:bCs/>
              </w:rPr>
            </w:pPr>
            <w:r>
              <w:rPr>
                <w:rFonts w:ascii="Arial" w:eastAsia="Times New Roman" w:hAnsi="Arial" w:cs="Arial"/>
                <w:lang w:eastAsia="en-BE"/>
              </w:rPr>
              <w:t>de wettelijke vakantiedagen, de wettelijke feestdagen, de gerechtvaardigde afwezigheden “kort verzuim”, de afwezigheden in het kader van de wetgeving betreffende het educatief verlof en van de sociale promotie, de syndicale verlofdagen en het verlof voor het uitoefenen van een deeltijds politiek mandaat</w:t>
            </w:r>
            <w:r>
              <w:rPr>
                <w:rFonts w:ascii="Arial" w:eastAsia="Times New Roman" w:hAnsi="Arial" w:cs="Arial"/>
                <w:lang w:eastAsia="en-BE"/>
              </w:rPr>
              <w:t>.</w:t>
            </w:r>
          </w:p>
        </w:tc>
        <w:tc>
          <w:tcPr>
            <w:tcW w:w="4508" w:type="dxa"/>
          </w:tcPr>
          <w:p w14:paraId="197024F4"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Sont assimilés à du travail effectif :  </w:t>
            </w:r>
            <w:r w:rsidRPr="00BC3E56">
              <w:rPr>
                <w:rFonts w:ascii="Arial" w:eastAsia="Times New Roman" w:hAnsi="Arial" w:cs="Arial"/>
                <w:lang w:val="fr-BE" w:eastAsia="en-BE"/>
              </w:rPr>
              <w:t> </w:t>
            </w:r>
          </w:p>
          <w:p w14:paraId="7E465D95" w14:textId="77777777" w:rsidR="00BC3E56" w:rsidRPr="00BC3E56" w:rsidRDefault="00BC3E56" w:rsidP="00BC3E56">
            <w:pPr>
              <w:numPr>
                <w:ilvl w:val="0"/>
                <w:numId w:val="4"/>
              </w:numPr>
              <w:ind w:left="120" w:firstLine="0"/>
              <w:jc w:val="both"/>
              <w:textAlignment w:val="baseline"/>
              <w:rPr>
                <w:rFonts w:ascii="Arial" w:eastAsia="Times New Roman" w:hAnsi="Arial" w:cs="Arial"/>
                <w:lang w:val="fr-BE" w:eastAsia="en-BE"/>
              </w:rPr>
            </w:pPr>
            <w:r>
              <w:rPr>
                <w:rFonts w:ascii="Arial" w:eastAsia="Times New Roman" w:hAnsi="Arial" w:cs="Arial"/>
                <w:lang w:val="fr-BE" w:eastAsia="en-BE"/>
              </w:rPr>
              <w:t>les absences imputables à une maladie professionnelle, un accident du travail ou un accident survenu sur le chemin du travail, à concurrence d’une durée maximale de douze mois et pour autant qu’elles soient reconnues par l’organisme assureur ; </w:t>
            </w:r>
            <w:r w:rsidRPr="00BC3E56">
              <w:rPr>
                <w:rFonts w:ascii="Arial" w:eastAsia="Times New Roman" w:hAnsi="Arial" w:cs="Arial"/>
                <w:lang w:val="fr-BE" w:eastAsia="en-BE"/>
              </w:rPr>
              <w:t> </w:t>
            </w:r>
          </w:p>
          <w:p w14:paraId="6C811F21" w14:textId="77777777" w:rsidR="00BC3E56" w:rsidRPr="00BC3E56" w:rsidRDefault="00BC3E56" w:rsidP="00BC3E56">
            <w:pPr>
              <w:numPr>
                <w:ilvl w:val="0"/>
                <w:numId w:val="4"/>
              </w:numPr>
              <w:ind w:left="120" w:firstLine="0"/>
              <w:jc w:val="both"/>
              <w:textAlignment w:val="baseline"/>
              <w:rPr>
                <w:rFonts w:ascii="Arial" w:eastAsia="Times New Roman" w:hAnsi="Arial" w:cs="Arial"/>
                <w:lang w:val="fr-BE" w:eastAsia="en-BE"/>
              </w:rPr>
            </w:pPr>
            <w:r>
              <w:rPr>
                <w:rFonts w:ascii="Arial" w:eastAsia="Times New Roman" w:hAnsi="Arial" w:cs="Arial"/>
                <w:lang w:val="fr-BE" w:eastAsia="en-BE"/>
              </w:rPr>
              <w:t>les absences pour maladie ou congé de maternité, justifiées par certificat médical et reconnues par l’organisme assureur, à concurrence d’une période maximale de six mois ;  </w:t>
            </w:r>
            <w:r w:rsidRPr="00BC3E56">
              <w:rPr>
                <w:rFonts w:ascii="Arial" w:eastAsia="Times New Roman" w:hAnsi="Arial" w:cs="Arial"/>
                <w:lang w:val="fr-BE" w:eastAsia="en-BE"/>
              </w:rPr>
              <w:t> </w:t>
            </w:r>
          </w:p>
          <w:p w14:paraId="30941486" w14:textId="77777777" w:rsidR="00BC3E56" w:rsidRPr="00BC3E56" w:rsidRDefault="00BC3E56" w:rsidP="00BC3E56">
            <w:pPr>
              <w:numPr>
                <w:ilvl w:val="0"/>
                <w:numId w:val="4"/>
              </w:numPr>
              <w:ind w:left="120" w:firstLine="0"/>
              <w:jc w:val="both"/>
              <w:textAlignment w:val="baseline"/>
              <w:rPr>
                <w:rFonts w:ascii="Arial" w:eastAsia="Times New Roman" w:hAnsi="Arial" w:cs="Arial"/>
                <w:lang w:val="fr-BE" w:eastAsia="en-BE"/>
              </w:rPr>
            </w:pPr>
            <w:r>
              <w:rPr>
                <w:rFonts w:ascii="Arial" w:eastAsia="Times New Roman" w:hAnsi="Arial" w:cs="Arial"/>
                <w:lang w:val="fr-BE" w:eastAsia="en-BE"/>
              </w:rPr>
              <w:t>les absences pour congé de maternité, justifiées par certificat médical et reconnues par l’organisme assureur ; </w:t>
            </w:r>
            <w:r w:rsidRPr="00BC3E56">
              <w:rPr>
                <w:rFonts w:ascii="Arial" w:eastAsia="Times New Roman" w:hAnsi="Arial" w:cs="Arial"/>
                <w:lang w:val="fr-BE" w:eastAsia="en-BE"/>
              </w:rPr>
              <w:t> </w:t>
            </w:r>
          </w:p>
          <w:p w14:paraId="3BE422EF" w14:textId="745F3DA8" w:rsidR="00BC3E56" w:rsidRPr="00BC3E56" w:rsidRDefault="00BC3E56" w:rsidP="00BC3E56">
            <w:pPr>
              <w:numPr>
                <w:ilvl w:val="0"/>
                <w:numId w:val="4"/>
              </w:numPr>
              <w:ind w:left="120" w:firstLine="0"/>
              <w:jc w:val="both"/>
              <w:textAlignment w:val="baseline"/>
              <w:rPr>
                <w:rFonts w:ascii="Arial" w:eastAsia="Times New Roman" w:hAnsi="Arial" w:cs="Arial"/>
                <w:lang w:val="fr-BE" w:eastAsia="en-BE"/>
              </w:rPr>
            </w:pPr>
            <w:r>
              <w:rPr>
                <w:rFonts w:ascii="Arial" w:eastAsia="Times New Roman" w:hAnsi="Arial" w:cs="Arial"/>
                <w:lang w:val="fr-BE" w:eastAsia="en-BE"/>
              </w:rPr>
              <w:t xml:space="preserve">les jours de vacances annuelles légales, les jours fériés légaux, les absences justifiées </w:t>
            </w:r>
            <w:r w:rsidR="00F05B16">
              <w:rPr>
                <w:rFonts w:ascii="Arial" w:eastAsia="Times New Roman" w:hAnsi="Arial" w:cs="Arial"/>
                <w:lang w:val="fr-BE" w:eastAsia="en-BE"/>
              </w:rPr>
              <w:t>« </w:t>
            </w:r>
            <w:r>
              <w:rPr>
                <w:rFonts w:ascii="Arial" w:eastAsia="Times New Roman" w:hAnsi="Arial" w:cs="Arial"/>
                <w:lang w:val="fr-BE" w:eastAsia="en-BE"/>
              </w:rPr>
              <w:t>petits chômages </w:t>
            </w:r>
            <w:r w:rsidR="00F05B16">
              <w:rPr>
                <w:rFonts w:ascii="Arial" w:eastAsia="Times New Roman" w:hAnsi="Arial" w:cs="Arial"/>
                <w:lang w:val="fr-BE" w:eastAsia="en-BE"/>
              </w:rPr>
              <w:t> »</w:t>
            </w:r>
            <w:r>
              <w:rPr>
                <w:rFonts w:ascii="Arial" w:eastAsia="Times New Roman" w:hAnsi="Arial" w:cs="Arial"/>
                <w:lang w:val="fr-BE" w:eastAsia="en-BE"/>
              </w:rPr>
              <w:t>, les absences dans le cadre des lois sur le congé-éducation et la promotion sociale, les jours de congé syndical, et le congé pour l’exercice d’un mandat politique à temps partiel.</w:t>
            </w:r>
            <w:r w:rsidRPr="00BC3E56">
              <w:rPr>
                <w:rFonts w:ascii="Arial" w:eastAsia="Times New Roman" w:hAnsi="Arial" w:cs="Arial"/>
                <w:lang w:val="fr-BE" w:eastAsia="en-BE"/>
              </w:rPr>
              <w:t> </w:t>
            </w:r>
          </w:p>
          <w:p w14:paraId="3A1D04E4"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sidRPr="00BC3E56">
              <w:rPr>
                <w:rFonts w:ascii="Arial" w:eastAsia="Times New Roman" w:hAnsi="Arial" w:cs="Arial"/>
                <w:lang w:val="fr-BE" w:eastAsia="en-BE"/>
              </w:rPr>
              <w:t> </w:t>
            </w:r>
          </w:p>
          <w:p w14:paraId="4DBE883E" w14:textId="77777777" w:rsidR="00795FA2" w:rsidRPr="00BC3E56" w:rsidRDefault="00795FA2" w:rsidP="00CB58A2">
            <w:pPr>
              <w:jc w:val="both"/>
              <w:rPr>
                <w:rFonts w:ascii="Arial" w:hAnsi="Arial" w:cs="Arial"/>
                <w:b/>
                <w:bCs/>
                <w:lang w:val="fr-BE"/>
              </w:rPr>
            </w:pPr>
          </w:p>
        </w:tc>
      </w:tr>
      <w:tr w:rsidR="00795FA2" w:rsidRPr="008D702B" w14:paraId="52CFB9CA" w14:textId="77777777" w:rsidTr="00ED745E">
        <w:tc>
          <w:tcPr>
            <w:tcW w:w="4508" w:type="dxa"/>
          </w:tcPr>
          <w:p w14:paraId="618DAB79" w14:textId="2A205F07" w:rsidR="00795FA2" w:rsidRPr="00795FA2" w:rsidRDefault="00795FA2" w:rsidP="00CB58A2">
            <w:pPr>
              <w:jc w:val="both"/>
              <w:rPr>
                <w:rFonts w:ascii="Arial" w:hAnsi="Arial" w:cs="Arial"/>
                <w:b/>
                <w:bCs/>
              </w:rPr>
            </w:pPr>
            <w:r>
              <w:rPr>
                <w:rFonts w:ascii="Arial" w:hAnsi="Arial" w:cs="Arial"/>
                <w:b/>
                <w:bCs/>
              </w:rPr>
              <w:t>Slotbepalingen</w:t>
            </w:r>
          </w:p>
        </w:tc>
        <w:tc>
          <w:tcPr>
            <w:tcW w:w="4508" w:type="dxa"/>
          </w:tcPr>
          <w:p w14:paraId="12F8187A" w14:textId="1BD20E39" w:rsidR="00795FA2" w:rsidRPr="00795FA2" w:rsidRDefault="00BC3E56" w:rsidP="00CB58A2">
            <w:pPr>
              <w:jc w:val="both"/>
              <w:rPr>
                <w:rFonts w:ascii="Arial" w:hAnsi="Arial" w:cs="Arial"/>
                <w:b/>
                <w:bCs/>
              </w:rPr>
            </w:pPr>
            <w:proofErr w:type="spellStart"/>
            <w:r>
              <w:rPr>
                <w:rFonts w:ascii="Arial" w:hAnsi="Arial" w:cs="Arial"/>
                <w:b/>
                <w:bCs/>
              </w:rPr>
              <w:t>Dispositions</w:t>
            </w:r>
            <w:proofErr w:type="spellEnd"/>
            <w:r>
              <w:rPr>
                <w:rFonts w:ascii="Arial" w:hAnsi="Arial" w:cs="Arial"/>
                <w:b/>
                <w:bCs/>
              </w:rPr>
              <w:t xml:space="preserve"> finales</w:t>
            </w:r>
          </w:p>
        </w:tc>
      </w:tr>
      <w:tr w:rsidR="00795FA2" w:rsidRPr="008D702B" w14:paraId="3C3A4A1F" w14:textId="77777777" w:rsidTr="00ED745E">
        <w:tc>
          <w:tcPr>
            <w:tcW w:w="4508" w:type="dxa"/>
          </w:tcPr>
          <w:p w14:paraId="5C8EB4E1" w14:textId="6B511CDC" w:rsidR="00795FA2" w:rsidRPr="00795FA2" w:rsidRDefault="00795FA2" w:rsidP="00CB58A2">
            <w:pPr>
              <w:jc w:val="both"/>
              <w:rPr>
                <w:rFonts w:ascii="Arial" w:hAnsi="Arial" w:cs="Arial"/>
                <w:b/>
                <w:bCs/>
              </w:rPr>
            </w:pPr>
            <w:r>
              <w:rPr>
                <w:rFonts w:ascii="Arial" w:hAnsi="Arial" w:cs="Arial"/>
                <w:b/>
                <w:bCs/>
              </w:rPr>
              <w:t>ARTIKEL 9</w:t>
            </w:r>
          </w:p>
        </w:tc>
        <w:tc>
          <w:tcPr>
            <w:tcW w:w="4508" w:type="dxa"/>
          </w:tcPr>
          <w:p w14:paraId="69BE150C" w14:textId="6B7A5E25" w:rsidR="00795FA2" w:rsidRPr="00795FA2" w:rsidRDefault="00BC3E56" w:rsidP="00CB58A2">
            <w:pPr>
              <w:jc w:val="both"/>
              <w:rPr>
                <w:rFonts w:ascii="Arial" w:hAnsi="Arial" w:cs="Arial"/>
                <w:b/>
                <w:bCs/>
              </w:rPr>
            </w:pPr>
            <w:r>
              <w:rPr>
                <w:rFonts w:ascii="Arial" w:hAnsi="Arial" w:cs="Arial"/>
                <w:b/>
                <w:bCs/>
              </w:rPr>
              <w:t>ARTICLE 9</w:t>
            </w:r>
          </w:p>
        </w:tc>
      </w:tr>
      <w:tr w:rsidR="00795FA2" w:rsidRPr="00BC3E56" w14:paraId="1E99AF82" w14:textId="77777777" w:rsidTr="00ED745E">
        <w:tc>
          <w:tcPr>
            <w:tcW w:w="4508" w:type="dxa"/>
          </w:tcPr>
          <w:p w14:paraId="233A5C28" w14:textId="65A1FDC3" w:rsidR="00795FA2" w:rsidRPr="00795FA2" w:rsidRDefault="00795FA2" w:rsidP="00CB58A2">
            <w:pPr>
              <w:jc w:val="both"/>
              <w:rPr>
                <w:rFonts w:ascii="Arial" w:hAnsi="Arial" w:cs="Arial"/>
                <w:b/>
                <w:bCs/>
              </w:rPr>
            </w:pPr>
            <w:r>
              <w:rPr>
                <w:rFonts w:ascii="Arial" w:eastAsia="Times New Roman" w:hAnsi="Arial" w:cs="Arial"/>
                <w:lang w:eastAsia="en-BE"/>
              </w:rPr>
              <w:t xml:space="preserve">De bepalingen van deze cao doen geen afbreuk aan de gunstiger </w:t>
            </w:r>
            <w:r>
              <w:rPr>
                <w:rFonts w:ascii="Arial" w:eastAsia="Times New Roman" w:hAnsi="Arial" w:cs="Arial"/>
                <w:lang w:eastAsia="en-BE"/>
              </w:rPr>
              <w:lastRenderedPageBreak/>
              <w:t>arbeidsvoorwaarden die in de ondernemingen bestaan. </w:t>
            </w:r>
          </w:p>
        </w:tc>
        <w:tc>
          <w:tcPr>
            <w:tcW w:w="4508" w:type="dxa"/>
          </w:tcPr>
          <w:p w14:paraId="10EE3CA8" w14:textId="333F115B" w:rsidR="00795FA2" w:rsidRPr="00BC3E56" w:rsidRDefault="00BC3E56" w:rsidP="00CB58A2">
            <w:pPr>
              <w:jc w:val="both"/>
              <w:rPr>
                <w:rFonts w:ascii="Arial" w:hAnsi="Arial" w:cs="Arial"/>
                <w:b/>
                <w:bCs/>
                <w:lang w:val="fr-BE"/>
              </w:rPr>
            </w:pPr>
            <w:r>
              <w:rPr>
                <w:rFonts w:ascii="Arial" w:eastAsia="Times New Roman" w:hAnsi="Arial" w:cs="Arial"/>
                <w:lang w:val="fr-BE" w:eastAsia="en-BE"/>
              </w:rPr>
              <w:lastRenderedPageBreak/>
              <w:t>La présente CCT ne porte pas préjudice à des régimes plus favorables existant le cas échéant au plan de l’entreprise.</w:t>
            </w:r>
            <w:r w:rsidRPr="00BC3E56">
              <w:rPr>
                <w:rFonts w:ascii="Arial" w:eastAsia="Times New Roman" w:hAnsi="Arial" w:cs="Arial"/>
                <w:lang w:val="fr-BE" w:eastAsia="en-BE"/>
              </w:rPr>
              <w:t> </w:t>
            </w:r>
          </w:p>
        </w:tc>
      </w:tr>
      <w:tr w:rsidR="002B47C8" w:rsidRPr="002B47C8" w14:paraId="1BAF2A7C" w14:textId="77777777" w:rsidTr="00ED745E">
        <w:tc>
          <w:tcPr>
            <w:tcW w:w="4508" w:type="dxa"/>
          </w:tcPr>
          <w:p w14:paraId="60C181F9" w14:textId="7B81EFDF" w:rsidR="002B47C8" w:rsidRPr="00794F52" w:rsidRDefault="002B47C8" w:rsidP="002B47C8">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r>
              <w:rPr>
                <w:rFonts w:ascii="Arial" w:hAnsi="Arial" w:cs="Arial"/>
                <w:b/>
                <w:bCs/>
                <w:lang w:val="fr-BE"/>
              </w:rPr>
              <w:t xml:space="preserve">ARTIKEL </w:t>
            </w:r>
            <w:r w:rsidR="00795FA2">
              <w:rPr>
                <w:rFonts w:ascii="Arial" w:hAnsi="Arial" w:cs="Arial"/>
                <w:b/>
                <w:bCs/>
                <w:lang w:val="fr-BE"/>
              </w:rPr>
              <w:t>10</w:t>
            </w:r>
            <w:r>
              <w:rPr>
                <w:rFonts w:ascii="Arial" w:hAnsi="Arial" w:cs="Arial"/>
                <w:b/>
                <w:bCs/>
                <w:lang w:val="fr-BE"/>
              </w:rPr>
              <w:t xml:space="preserve"> - </w:t>
            </w:r>
            <w:proofErr w:type="spellStart"/>
            <w:r>
              <w:rPr>
                <w:rFonts w:ascii="Arial" w:hAnsi="Arial" w:cs="Arial"/>
                <w:b/>
                <w:bCs/>
                <w:lang w:val="fr-BE"/>
              </w:rPr>
              <w:t>Opheffingsbepaling</w:t>
            </w:r>
            <w:proofErr w:type="spellEnd"/>
          </w:p>
        </w:tc>
        <w:tc>
          <w:tcPr>
            <w:tcW w:w="4508" w:type="dxa"/>
          </w:tcPr>
          <w:p w14:paraId="06483894" w14:textId="0657DA41" w:rsidR="002B47C8" w:rsidRPr="00EB2533" w:rsidRDefault="002B47C8" w:rsidP="002B47C8">
            <w:pPr>
              <w:jc w:val="both"/>
              <w:rPr>
                <w:rFonts w:ascii="Arial" w:eastAsiaTheme="minorEastAsia" w:hAnsi="Arial" w:cs="Arial"/>
                <w:spacing w:val="-1"/>
                <w:lang w:val="fr-BE" w:eastAsia="zh-CN"/>
              </w:rPr>
            </w:pPr>
            <w:r>
              <w:rPr>
                <w:rFonts w:ascii="Arial" w:hAnsi="Arial" w:cs="Arial"/>
                <w:b/>
                <w:bCs/>
                <w:lang w:val="fr-BE"/>
              </w:rPr>
              <w:t xml:space="preserve">ARTICLE </w:t>
            </w:r>
            <w:r w:rsidR="00BC3E56">
              <w:rPr>
                <w:rFonts w:ascii="Arial" w:hAnsi="Arial" w:cs="Arial"/>
                <w:b/>
                <w:bCs/>
                <w:lang w:val="fr-BE"/>
              </w:rPr>
              <w:t>10</w:t>
            </w:r>
            <w:r>
              <w:rPr>
                <w:rFonts w:ascii="Arial" w:hAnsi="Arial" w:cs="Arial"/>
                <w:b/>
                <w:bCs/>
                <w:lang w:val="fr-BE"/>
              </w:rPr>
              <w:t xml:space="preserve"> – Disposition abrogatoire</w:t>
            </w:r>
          </w:p>
        </w:tc>
      </w:tr>
      <w:tr w:rsidR="002B47C8" w:rsidRPr="00795FA2" w14:paraId="6A059F7D" w14:textId="77777777" w:rsidTr="00ED745E">
        <w:tc>
          <w:tcPr>
            <w:tcW w:w="4508" w:type="dxa"/>
          </w:tcPr>
          <w:p w14:paraId="5A2DF6D7"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val="nl-NL" w:eastAsia="en-BE"/>
              </w:rPr>
              <w:t xml:space="preserve">De </w:t>
            </w:r>
            <w:r>
              <w:rPr>
                <w:rFonts w:ascii="Arial" w:eastAsia="Times New Roman" w:hAnsi="Arial" w:cs="Arial"/>
                <w:lang w:eastAsia="en-BE"/>
              </w:rPr>
              <w:t>CAO van 20 juni 2017 betreffende eindejaarspremie voor de handelsvertegenwoordigers, gesloten in het Paritair comité voor de scheikundige nijverheid (nr.141368/CO/207) wordt integraal opgeheven en vervangen door onderhavige CAO. </w:t>
            </w:r>
          </w:p>
          <w:p w14:paraId="29FD962C" w14:textId="5DCE8407" w:rsidR="002B47C8" w:rsidRPr="002B47C8" w:rsidRDefault="002B47C8" w:rsidP="002B47C8">
            <w:pPr>
              <w:jc w:val="both"/>
              <w:rPr>
                <w:rFonts w:ascii="Arial" w:hAnsi="Arial" w:cs="Arial"/>
                <w:b/>
                <w:bCs/>
              </w:rPr>
            </w:pPr>
          </w:p>
        </w:tc>
        <w:tc>
          <w:tcPr>
            <w:tcW w:w="4508" w:type="dxa"/>
          </w:tcPr>
          <w:p w14:paraId="518007CB"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La CCT du 20 juin 2017 conclue au sein de la Commission Paritaire pour employés de l’industrie chimique relative à la prime de fin d’année pour les représentants de commerce (n°141368/CO/207) est intégralement abrogée et remplacée par la présente CCT.</w:t>
            </w:r>
            <w:r w:rsidRPr="00BC3E56">
              <w:rPr>
                <w:rFonts w:ascii="Arial" w:eastAsia="Times New Roman" w:hAnsi="Arial" w:cs="Arial"/>
                <w:lang w:val="fr-BE" w:eastAsia="en-BE"/>
              </w:rPr>
              <w:t> </w:t>
            </w:r>
          </w:p>
          <w:p w14:paraId="0076D63D" w14:textId="19393B09" w:rsidR="002B47C8" w:rsidRPr="008D702B" w:rsidRDefault="002B47C8" w:rsidP="002B47C8">
            <w:pPr>
              <w:jc w:val="both"/>
              <w:rPr>
                <w:rFonts w:ascii="Arial" w:hAnsi="Arial" w:cs="Arial"/>
                <w:b/>
                <w:bCs/>
                <w:lang w:val="fr-BE"/>
              </w:rPr>
            </w:pPr>
          </w:p>
        </w:tc>
      </w:tr>
      <w:tr w:rsidR="002B47C8" w:rsidRPr="002B47C8" w14:paraId="615E7D84" w14:textId="77777777" w:rsidTr="00ED745E">
        <w:tc>
          <w:tcPr>
            <w:tcW w:w="4508" w:type="dxa"/>
          </w:tcPr>
          <w:p w14:paraId="3F4CEE85" w14:textId="7EA55F08" w:rsidR="002B47C8" w:rsidRPr="002B47C8" w:rsidRDefault="002B47C8" w:rsidP="002B47C8">
            <w:pPr>
              <w:tabs>
                <w:tab w:val="left" w:pos="907"/>
                <w:tab w:val="left" w:pos="1051"/>
                <w:tab w:val="left" w:pos="1314"/>
                <w:tab w:val="left" w:pos="1728"/>
                <w:tab w:val="left" w:pos="3024"/>
              </w:tabs>
              <w:suppressAutoHyphens/>
              <w:jc w:val="both"/>
              <w:rPr>
                <w:rFonts w:ascii="Arial" w:hAnsi="Arial" w:cs="Arial"/>
                <w:b/>
                <w:bCs/>
              </w:rPr>
            </w:pPr>
            <w:r w:rsidRPr="002B47C8">
              <w:rPr>
                <w:rFonts w:ascii="Arial" w:hAnsi="Arial" w:cs="Arial"/>
                <w:b/>
                <w:bCs/>
              </w:rPr>
              <w:t xml:space="preserve">ARTIKEL </w:t>
            </w:r>
            <w:r w:rsidR="00795FA2">
              <w:rPr>
                <w:rFonts w:ascii="Arial" w:hAnsi="Arial" w:cs="Arial"/>
                <w:b/>
                <w:bCs/>
              </w:rPr>
              <w:t>11</w:t>
            </w:r>
            <w:r w:rsidRPr="002B47C8">
              <w:rPr>
                <w:rFonts w:ascii="Arial" w:hAnsi="Arial" w:cs="Arial"/>
                <w:b/>
                <w:bCs/>
              </w:rPr>
              <w:t xml:space="preserve"> – Duur</w:t>
            </w:r>
          </w:p>
        </w:tc>
        <w:tc>
          <w:tcPr>
            <w:tcW w:w="4508" w:type="dxa"/>
          </w:tcPr>
          <w:p w14:paraId="05672762" w14:textId="07E137B8" w:rsidR="002B47C8" w:rsidRPr="002B47C8" w:rsidRDefault="002B47C8" w:rsidP="002B47C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b/>
                <w:bCs/>
                <w:spacing w:val="-1"/>
                <w:lang w:val="fr-BE"/>
              </w:rPr>
            </w:pPr>
            <w:r w:rsidRPr="002B47C8">
              <w:rPr>
                <w:rFonts w:ascii="Arial" w:hAnsi="Arial" w:cs="Arial"/>
                <w:b/>
                <w:bCs/>
                <w:spacing w:val="-1"/>
                <w:lang w:val="fr-BE"/>
              </w:rPr>
              <w:t xml:space="preserve">ARTICLE </w:t>
            </w:r>
            <w:r w:rsidR="00BC3E56">
              <w:rPr>
                <w:rFonts w:ascii="Arial" w:hAnsi="Arial" w:cs="Arial"/>
                <w:b/>
                <w:bCs/>
                <w:spacing w:val="-1"/>
                <w:lang w:val="fr-BE"/>
              </w:rPr>
              <w:t>11</w:t>
            </w:r>
            <w:r w:rsidRPr="002B47C8">
              <w:rPr>
                <w:rFonts w:ascii="Arial" w:hAnsi="Arial" w:cs="Arial"/>
                <w:b/>
                <w:bCs/>
                <w:spacing w:val="-1"/>
                <w:lang w:val="fr-BE"/>
              </w:rPr>
              <w:t xml:space="preserve"> - Durée</w:t>
            </w:r>
          </w:p>
        </w:tc>
      </w:tr>
      <w:tr w:rsidR="002B47C8" w:rsidRPr="00795FA2" w14:paraId="25321A09" w14:textId="77777777" w:rsidTr="00ED745E">
        <w:tc>
          <w:tcPr>
            <w:tcW w:w="4508" w:type="dxa"/>
          </w:tcPr>
          <w:p w14:paraId="75BF8220"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xml:space="preserve">Deze CAO is gesloten voor onbepaalde duur. Ze </w:t>
            </w:r>
            <w:r>
              <w:rPr>
                <w:rFonts w:ascii="Arial" w:eastAsia="Times New Roman" w:hAnsi="Arial" w:cs="Arial"/>
                <w:lang w:val="nl-NL" w:eastAsia="en-BE"/>
              </w:rPr>
              <w:t>treedt in werking op 1 januari 2019. </w:t>
            </w:r>
            <w:r>
              <w:rPr>
                <w:rFonts w:ascii="Arial" w:eastAsia="Times New Roman" w:hAnsi="Arial" w:cs="Arial"/>
                <w:lang w:eastAsia="en-BE"/>
              </w:rPr>
              <w:t> </w:t>
            </w:r>
          </w:p>
          <w:p w14:paraId="4EEFEF59"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65BE0E8F"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val="nl-NL" w:eastAsia="en-BE"/>
              </w:rPr>
              <w:t>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poststempel geldt als bewijs.</w:t>
            </w:r>
            <w:r>
              <w:rPr>
                <w:rFonts w:ascii="Arial" w:eastAsia="Times New Roman" w:hAnsi="Arial" w:cs="Arial"/>
                <w:lang w:eastAsia="en-BE"/>
              </w:rPr>
              <w:t> </w:t>
            </w:r>
          </w:p>
          <w:p w14:paraId="47416D00" w14:textId="77777777" w:rsidR="00795FA2" w:rsidRDefault="00795FA2" w:rsidP="00795FA2">
            <w:pPr>
              <w:jc w:val="both"/>
              <w:textAlignment w:val="baseline"/>
              <w:rPr>
                <w:rFonts w:ascii="Times New Roman" w:eastAsia="Times New Roman" w:hAnsi="Times New Roman" w:cs="Times New Roman"/>
                <w:sz w:val="24"/>
                <w:szCs w:val="24"/>
                <w:lang w:eastAsia="en-BE"/>
              </w:rPr>
            </w:pPr>
            <w:r>
              <w:rPr>
                <w:rFonts w:ascii="Arial" w:eastAsia="Times New Roman" w:hAnsi="Arial" w:cs="Arial"/>
                <w:lang w:eastAsia="en-BE"/>
              </w:rPr>
              <w:t> </w:t>
            </w:r>
          </w:p>
          <w:p w14:paraId="7D8B7A02" w14:textId="33FF65CD" w:rsidR="002B47C8" w:rsidRPr="000B4E6E" w:rsidRDefault="00795FA2" w:rsidP="00795FA2">
            <w:pPr>
              <w:pStyle w:val="NormalWeb"/>
              <w:shd w:val="clear" w:color="auto" w:fill="FFFFFF"/>
              <w:spacing w:before="0" w:beforeAutospacing="0" w:after="150" w:afterAutospacing="0" w:line="260" w:lineRule="exact"/>
              <w:jc w:val="both"/>
              <w:rPr>
                <w:rFonts w:ascii="Arial" w:hAnsi="Arial" w:cs="Arial"/>
                <w:sz w:val="22"/>
                <w:szCs w:val="22"/>
              </w:rPr>
            </w:pPr>
            <w:r>
              <w:rPr>
                <w:rFonts w:ascii="Arial" w:hAnsi="Arial" w:cs="Arial"/>
                <w:lang w:eastAsia="en-BE"/>
              </w:rPr>
              <w:t>Deze CAO zal worden neergelegd ter griffie van de Algemene Directie Collectieve Arbeidsbetrekkingen van de Federale Overheidsdienst Werkgelegenheid, Arbeid en Sociaal Overleg en de algemeen verbindende kracht bij koninklijk besluit wordt gevraagd. </w:t>
            </w:r>
          </w:p>
        </w:tc>
        <w:tc>
          <w:tcPr>
            <w:tcW w:w="4508" w:type="dxa"/>
          </w:tcPr>
          <w:p w14:paraId="2B954A11"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BE" w:eastAsia="en-BE"/>
              </w:rPr>
              <w:t>La présente CCT est conclue pour une durée indéterminée. Elle entre en vigueur le 1</w:t>
            </w:r>
            <w:r>
              <w:rPr>
                <w:rFonts w:ascii="Arial" w:eastAsia="Times New Roman" w:hAnsi="Arial" w:cs="Arial"/>
                <w:sz w:val="17"/>
                <w:szCs w:val="17"/>
                <w:vertAlign w:val="superscript"/>
                <w:lang w:val="fr-BE" w:eastAsia="en-BE"/>
              </w:rPr>
              <w:t>er</w:t>
            </w:r>
            <w:r>
              <w:rPr>
                <w:rFonts w:ascii="Arial" w:eastAsia="Times New Roman" w:hAnsi="Arial" w:cs="Arial"/>
                <w:lang w:val="fr-BE" w:eastAsia="en-BE"/>
              </w:rPr>
              <w:t xml:space="preserve"> janvier 2019.</w:t>
            </w:r>
            <w:r w:rsidRPr="00BC3E56">
              <w:rPr>
                <w:rFonts w:ascii="Arial" w:eastAsia="Times New Roman" w:hAnsi="Arial" w:cs="Arial"/>
                <w:lang w:val="fr-BE" w:eastAsia="en-BE"/>
              </w:rPr>
              <w:t> </w:t>
            </w:r>
          </w:p>
          <w:p w14:paraId="19472EC4"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sidRPr="00BC3E56">
              <w:rPr>
                <w:rFonts w:ascii="Arial" w:eastAsia="Times New Roman" w:hAnsi="Arial" w:cs="Arial"/>
                <w:lang w:val="fr-BE" w:eastAsia="en-BE"/>
              </w:rPr>
              <w:t> </w:t>
            </w:r>
          </w:p>
          <w:p w14:paraId="5AD9DEB5"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Pr>
                <w:rFonts w:ascii="Arial" w:eastAsia="Times New Roman" w:hAnsi="Arial" w:cs="Arial"/>
                <w:lang w:val="fr-FR" w:eastAsia="en-BE"/>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r w:rsidRPr="00BC3E56">
              <w:rPr>
                <w:rFonts w:ascii="Arial" w:eastAsia="Times New Roman" w:hAnsi="Arial" w:cs="Arial"/>
                <w:lang w:val="fr-BE" w:eastAsia="en-BE"/>
              </w:rPr>
              <w:t> </w:t>
            </w:r>
          </w:p>
          <w:p w14:paraId="7341A6DC"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sidRPr="00BC3E56">
              <w:rPr>
                <w:rFonts w:ascii="Arial" w:eastAsia="Times New Roman" w:hAnsi="Arial" w:cs="Arial"/>
                <w:lang w:val="fr-BE" w:eastAsia="en-BE"/>
              </w:rPr>
              <w:t> </w:t>
            </w:r>
          </w:p>
          <w:p w14:paraId="38AB2F59" w14:textId="77777777" w:rsidR="00BC3E56" w:rsidRPr="00BC3E56" w:rsidRDefault="00BC3E56" w:rsidP="00BC3E56">
            <w:pPr>
              <w:jc w:val="both"/>
              <w:textAlignment w:val="baseline"/>
              <w:rPr>
                <w:rFonts w:ascii="Times New Roman" w:eastAsia="Times New Roman" w:hAnsi="Times New Roman" w:cs="Times New Roman"/>
                <w:sz w:val="24"/>
                <w:szCs w:val="24"/>
                <w:lang w:val="fr-BE" w:eastAsia="en-BE"/>
              </w:rPr>
            </w:pPr>
            <w:r w:rsidRPr="00BC3E56">
              <w:rPr>
                <w:rFonts w:ascii="Arial" w:eastAsia="Times New Roman" w:hAnsi="Arial" w:cs="Arial"/>
                <w:lang w:val="fr-BE" w:eastAsia="en-BE"/>
              </w:rPr>
              <w:t> </w:t>
            </w:r>
          </w:p>
          <w:p w14:paraId="36CB02AB" w14:textId="4F696370" w:rsidR="002B47C8" w:rsidRPr="007849D5" w:rsidRDefault="00BC3E56" w:rsidP="00BC3E56">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Pr>
                <w:rFonts w:ascii="Arial" w:eastAsia="Times New Roman" w:hAnsi="Arial" w:cs="Arial"/>
                <w:lang w:val="fr-FR" w:eastAsia="en-BE"/>
              </w:rPr>
              <w:t xml:space="preserve">La présente CCT sera déposée au greffe de la Direction </w:t>
            </w:r>
            <w:r w:rsidR="00F05B16">
              <w:rPr>
                <w:rFonts w:ascii="Arial" w:eastAsia="Times New Roman" w:hAnsi="Arial" w:cs="Arial"/>
                <w:lang w:val="fr-FR" w:eastAsia="en-BE"/>
              </w:rPr>
              <w:t>G</w:t>
            </w:r>
            <w:r>
              <w:rPr>
                <w:rFonts w:ascii="Arial" w:eastAsia="Times New Roman" w:hAnsi="Arial" w:cs="Arial"/>
                <w:lang w:val="fr-FR" w:eastAsia="en-BE"/>
              </w:rPr>
              <w:t xml:space="preserve">énérale Relations </w:t>
            </w:r>
            <w:r w:rsidR="00F05B16">
              <w:rPr>
                <w:rFonts w:ascii="Arial" w:eastAsia="Times New Roman" w:hAnsi="Arial" w:cs="Arial"/>
                <w:lang w:val="fr-FR" w:eastAsia="en-BE"/>
              </w:rPr>
              <w:t>C</w:t>
            </w:r>
            <w:r>
              <w:rPr>
                <w:rFonts w:ascii="Arial" w:eastAsia="Times New Roman" w:hAnsi="Arial" w:cs="Arial"/>
                <w:lang w:val="fr-FR" w:eastAsia="en-BE"/>
              </w:rPr>
              <w:t xml:space="preserve">ollectives de </w:t>
            </w:r>
            <w:r w:rsidR="00F05B16">
              <w:rPr>
                <w:rFonts w:ascii="Arial" w:eastAsia="Times New Roman" w:hAnsi="Arial" w:cs="Arial"/>
                <w:lang w:val="fr-FR" w:eastAsia="en-BE"/>
              </w:rPr>
              <w:t>T</w:t>
            </w:r>
            <w:r>
              <w:rPr>
                <w:rFonts w:ascii="Arial" w:eastAsia="Times New Roman" w:hAnsi="Arial" w:cs="Arial"/>
                <w:lang w:val="fr-FR" w:eastAsia="en-BE"/>
              </w:rPr>
              <w:t xml:space="preserve">ravail du Service </w:t>
            </w:r>
            <w:r w:rsidR="00F05B16">
              <w:rPr>
                <w:rFonts w:ascii="Arial" w:eastAsia="Times New Roman" w:hAnsi="Arial" w:cs="Arial"/>
                <w:lang w:val="fr-FR" w:eastAsia="en-BE"/>
              </w:rPr>
              <w:t>P</w:t>
            </w:r>
            <w:r>
              <w:rPr>
                <w:rFonts w:ascii="Arial" w:eastAsia="Times New Roman" w:hAnsi="Arial" w:cs="Arial"/>
                <w:lang w:val="fr-FR" w:eastAsia="en-BE"/>
              </w:rPr>
              <w:t xml:space="preserve">ublic </w:t>
            </w:r>
            <w:r w:rsidR="00F05B16">
              <w:rPr>
                <w:rFonts w:ascii="Arial" w:eastAsia="Times New Roman" w:hAnsi="Arial" w:cs="Arial"/>
                <w:lang w:val="fr-FR" w:eastAsia="en-BE"/>
              </w:rPr>
              <w:t>F</w:t>
            </w:r>
            <w:r>
              <w:rPr>
                <w:rFonts w:ascii="Arial" w:eastAsia="Times New Roman" w:hAnsi="Arial" w:cs="Arial"/>
                <w:lang w:val="fr-FR" w:eastAsia="en-BE"/>
              </w:rPr>
              <w:t xml:space="preserve">édéral Emploi, Travail et Concertation </w:t>
            </w:r>
            <w:bookmarkStart w:id="0" w:name="_GoBack"/>
            <w:bookmarkEnd w:id="0"/>
            <w:r>
              <w:rPr>
                <w:rFonts w:ascii="Arial" w:eastAsia="Times New Roman" w:hAnsi="Arial" w:cs="Arial"/>
                <w:lang w:val="fr-FR" w:eastAsia="en-BE"/>
              </w:rPr>
              <w:t>sociale et la force obligatoire par arrêté royal est demandée.</w:t>
            </w:r>
            <w:r w:rsidRPr="00BC3E56">
              <w:rPr>
                <w:rFonts w:ascii="Arial" w:eastAsia="Times New Roman" w:hAnsi="Arial" w:cs="Arial"/>
                <w:lang w:val="fr-BE" w:eastAsia="en-BE"/>
              </w:rPr>
              <w:t> </w:t>
            </w:r>
          </w:p>
        </w:tc>
      </w:tr>
    </w:tbl>
    <w:p w14:paraId="3157D903" w14:textId="619E80A2" w:rsidR="00131F5B" w:rsidRPr="002B47C8" w:rsidRDefault="00131F5B">
      <w:pPr>
        <w:rPr>
          <w:lang w:val="fr-BE"/>
        </w:rPr>
      </w:pPr>
    </w:p>
    <w:p w14:paraId="18B9C136" w14:textId="2935FFD9" w:rsidR="00ED745E" w:rsidRDefault="00ED745E">
      <w:pPr>
        <w:rPr>
          <w:lang w:val="fr-FR"/>
        </w:rPr>
      </w:pPr>
    </w:p>
    <w:p w14:paraId="17A4E966" w14:textId="1CA8F372" w:rsidR="00ED745E" w:rsidRPr="00ED745E" w:rsidRDefault="00ED745E">
      <w:pPr>
        <w:rPr>
          <w:lang w:val="fr-FR"/>
        </w:rPr>
      </w:pPr>
    </w:p>
    <w:sectPr w:rsidR="00ED745E" w:rsidRPr="00ED74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4908C219" w:rsidR="00C40FFC" w:rsidRDefault="00C40FFC" w:rsidP="00C40FFC">
    <w:pPr>
      <w:pStyle w:val="Header"/>
      <w:ind w:left="7938"/>
    </w:pPr>
    <w:r>
      <w:fldChar w:fldCharType="begin"/>
    </w:r>
    <w:r>
      <w:instrText xml:space="preserve"> TIME \@ "dd/MM/yyyy" </w:instrText>
    </w:r>
    <w:r>
      <w:fldChar w:fldCharType="separate"/>
    </w:r>
    <w:r w:rsidR="00795FA2">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A3252"/>
    <w:multiLevelType w:val="multilevel"/>
    <w:tmpl w:val="44029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EF66B0"/>
    <w:multiLevelType w:val="multilevel"/>
    <w:tmpl w:val="507CF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4529A7"/>
    <w:multiLevelType w:val="multilevel"/>
    <w:tmpl w:val="42065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722BD"/>
    <w:multiLevelType w:val="multilevel"/>
    <w:tmpl w:val="E71E0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131F5B"/>
    <w:rsid w:val="00274562"/>
    <w:rsid w:val="002B47C8"/>
    <w:rsid w:val="003B59E2"/>
    <w:rsid w:val="004A1DE8"/>
    <w:rsid w:val="004F0A73"/>
    <w:rsid w:val="00512439"/>
    <w:rsid w:val="00683842"/>
    <w:rsid w:val="006E1B3E"/>
    <w:rsid w:val="0076328F"/>
    <w:rsid w:val="007852C5"/>
    <w:rsid w:val="00795FA2"/>
    <w:rsid w:val="00A94A0C"/>
    <w:rsid w:val="00BB21A4"/>
    <w:rsid w:val="00BC3E56"/>
    <w:rsid w:val="00C15CE8"/>
    <w:rsid w:val="00C40FFC"/>
    <w:rsid w:val="00D70042"/>
    <w:rsid w:val="00EC03A4"/>
    <w:rsid w:val="00ED745E"/>
    <w:rsid w:val="00F05B16"/>
    <w:rsid w:val="00F41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2926">
      <w:bodyDiv w:val="1"/>
      <w:marLeft w:val="0"/>
      <w:marRight w:val="0"/>
      <w:marTop w:val="0"/>
      <w:marBottom w:val="0"/>
      <w:divBdr>
        <w:top w:val="none" w:sz="0" w:space="0" w:color="auto"/>
        <w:left w:val="none" w:sz="0" w:space="0" w:color="auto"/>
        <w:bottom w:val="none" w:sz="0" w:space="0" w:color="auto"/>
        <w:right w:val="none" w:sz="0" w:space="0" w:color="auto"/>
      </w:divBdr>
    </w:div>
    <w:div w:id="446895116">
      <w:bodyDiv w:val="1"/>
      <w:marLeft w:val="0"/>
      <w:marRight w:val="0"/>
      <w:marTop w:val="0"/>
      <w:marBottom w:val="0"/>
      <w:divBdr>
        <w:top w:val="none" w:sz="0" w:space="0" w:color="auto"/>
        <w:left w:val="none" w:sz="0" w:space="0" w:color="auto"/>
        <w:bottom w:val="none" w:sz="0" w:space="0" w:color="auto"/>
        <w:right w:val="none" w:sz="0" w:space="0" w:color="auto"/>
      </w:divBdr>
    </w:div>
    <w:div w:id="692808977">
      <w:bodyDiv w:val="1"/>
      <w:marLeft w:val="0"/>
      <w:marRight w:val="0"/>
      <w:marTop w:val="0"/>
      <w:marBottom w:val="0"/>
      <w:divBdr>
        <w:top w:val="none" w:sz="0" w:space="0" w:color="auto"/>
        <w:left w:val="none" w:sz="0" w:space="0" w:color="auto"/>
        <w:bottom w:val="none" w:sz="0" w:space="0" w:color="auto"/>
        <w:right w:val="none" w:sz="0" w:space="0" w:color="auto"/>
      </w:divBdr>
    </w:div>
    <w:div w:id="741178921">
      <w:bodyDiv w:val="1"/>
      <w:marLeft w:val="0"/>
      <w:marRight w:val="0"/>
      <w:marTop w:val="0"/>
      <w:marBottom w:val="0"/>
      <w:divBdr>
        <w:top w:val="none" w:sz="0" w:space="0" w:color="auto"/>
        <w:left w:val="none" w:sz="0" w:space="0" w:color="auto"/>
        <w:bottom w:val="none" w:sz="0" w:space="0" w:color="auto"/>
        <w:right w:val="none" w:sz="0" w:space="0" w:color="auto"/>
      </w:divBdr>
    </w:div>
    <w:div w:id="759107152">
      <w:bodyDiv w:val="1"/>
      <w:marLeft w:val="0"/>
      <w:marRight w:val="0"/>
      <w:marTop w:val="0"/>
      <w:marBottom w:val="0"/>
      <w:divBdr>
        <w:top w:val="none" w:sz="0" w:space="0" w:color="auto"/>
        <w:left w:val="none" w:sz="0" w:space="0" w:color="auto"/>
        <w:bottom w:val="none" w:sz="0" w:space="0" w:color="auto"/>
        <w:right w:val="none" w:sz="0" w:space="0" w:color="auto"/>
      </w:divBdr>
    </w:div>
    <w:div w:id="782922128">
      <w:bodyDiv w:val="1"/>
      <w:marLeft w:val="0"/>
      <w:marRight w:val="0"/>
      <w:marTop w:val="0"/>
      <w:marBottom w:val="0"/>
      <w:divBdr>
        <w:top w:val="none" w:sz="0" w:space="0" w:color="auto"/>
        <w:left w:val="none" w:sz="0" w:space="0" w:color="auto"/>
        <w:bottom w:val="none" w:sz="0" w:space="0" w:color="auto"/>
        <w:right w:val="none" w:sz="0" w:space="0" w:color="auto"/>
      </w:divBdr>
    </w:div>
    <w:div w:id="827213934">
      <w:bodyDiv w:val="1"/>
      <w:marLeft w:val="0"/>
      <w:marRight w:val="0"/>
      <w:marTop w:val="0"/>
      <w:marBottom w:val="0"/>
      <w:divBdr>
        <w:top w:val="none" w:sz="0" w:space="0" w:color="auto"/>
        <w:left w:val="none" w:sz="0" w:space="0" w:color="auto"/>
        <w:bottom w:val="none" w:sz="0" w:space="0" w:color="auto"/>
        <w:right w:val="none" w:sz="0" w:space="0" w:color="auto"/>
      </w:divBdr>
    </w:div>
    <w:div w:id="971860706">
      <w:bodyDiv w:val="1"/>
      <w:marLeft w:val="0"/>
      <w:marRight w:val="0"/>
      <w:marTop w:val="0"/>
      <w:marBottom w:val="0"/>
      <w:divBdr>
        <w:top w:val="none" w:sz="0" w:space="0" w:color="auto"/>
        <w:left w:val="none" w:sz="0" w:space="0" w:color="auto"/>
        <w:bottom w:val="none" w:sz="0" w:space="0" w:color="auto"/>
        <w:right w:val="none" w:sz="0" w:space="0" w:color="auto"/>
      </w:divBdr>
    </w:div>
    <w:div w:id="1191647272">
      <w:bodyDiv w:val="1"/>
      <w:marLeft w:val="0"/>
      <w:marRight w:val="0"/>
      <w:marTop w:val="0"/>
      <w:marBottom w:val="0"/>
      <w:divBdr>
        <w:top w:val="none" w:sz="0" w:space="0" w:color="auto"/>
        <w:left w:val="none" w:sz="0" w:space="0" w:color="auto"/>
        <w:bottom w:val="none" w:sz="0" w:space="0" w:color="auto"/>
        <w:right w:val="none" w:sz="0" w:space="0" w:color="auto"/>
      </w:divBdr>
    </w:div>
    <w:div w:id="1219780600">
      <w:bodyDiv w:val="1"/>
      <w:marLeft w:val="0"/>
      <w:marRight w:val="0"/>
      <w:marTop w:val="0"/>
      <w:marBottom w:val="0"/>
      <w:divBdr>
        <w:top w:val="none" w:sz="0" w:space="0" w:color="auto"/>
        <w:left w:val="none" w:sz="0" w:space="0" w:color="auto"/>
        <w:bottom w:val="none" w:sz="0" w:space="0" w:color="auto"/>
        <w:right w:val="none" w:sz="0" w:space="0" w:color="auto"/>
      </w:divBdr>
    </w:div>
    <w:div w:id="1286277690">
      <w:bodyDiv w:val="1"/>
      <w:marLeft w:val="0"/>
      <w:marRight w:val="0"/>
      <w:marTop w:val="0"/>
      <w:marBottom w:val="0"/>
      <w:divBdr>
        <w:top w:val="none" w:sz="0" w:space="0" w:color="auto"/>
        <w:left w:val="none" w:sz="0" w:space="0" w:color="auto"/>
        <w:bottom w:val="none" w:sz="0" w:space="0" w:color="auto"/>
        <w:right w:val="none" w:sz="0" w:space="0" w:color="auto"/>
      </w:divBdr>
    </w:div>
    <w:div w:id="1403790579">
      <w:bodyDiv w:val="1"/>
      <w:marLeft w:val="0"/>
      <w:marRight w:val="0"/>
      <w:marTop w:val="0"/>
      <w:marBottom w:val="0"/>
      <w:divBdr>
        <w:top w:val="none" w:sz="0" w:space="0" w:color="auto"/>
        <w:left w:val="none" w:sz="0" w:space="0" w:color="auto"/>
        <w:bottom w:val="none" w:sz="0" w:space="0" w:color="auto"/>
        <w:right w:val="none" w:sz="0" w:space="0" w:color="auto"/>
      </w:divBdr>
    </w:div>
    <w:div w:id="1577087388">
      <w:bodyDiv w:val="1"/>
      <w:marLeft w:val="0"/>
      <w:marRight w:val="0"/>
      <w:marTop w:val="0"/>
      <w:marBottom w:val="0"/>
      <w:divBdr>
        <w:top w:val="none" w:sz="0" w:space="0" w:color="auto"/>
        <w:left w:val="none" w:sz="0" w:space="0" w:color="auto"/>
        <w:bottom w:val="none" w:sz="0" w:space="0" w:color="auto"/>
        <w:right w:val="none" w:sz="0" w:space="0" w:color="auto"/>
      </w:divBdr>
    </w:div>
    <w:div w:id="1638604061">
      <w:bodyDiv w:val="1"/>
      <w:marLeft w:val="0"/>
      <w:marRight w:val="0"/>
      <w:marTop w:val="0"/>
      <w:marBottom w:val="0"/>
      <w:divBdr>
        <w:top w:val="none" w:sz="0" w:space="0" w:color="auto"/>
        <w:left w:val="none" w:sz="0" w:space="0" w:color="auto"/>
        <w:bottom w:val="none" w:sz="0" w:space="0" w:color="auto"/>
        <w:right w:val="none" w:sz="0" w:space="0" w:color="auto"/>
      </w:divBdr>
    </w:div>
    <w:div w:id="1762722971">
      <w:bodyDiv w:val="1"/>
      <w:marLeft w:val="0"/>
      <w:marRight w:val="0"/>
      <w:marTop w:val="0"/>
      <w:marBottom w:val="0"/>
      <w:divBdr>
        <w:top w:val="none" w:sz="0" w:space="0" w:color="auto"/>
        <w:left w:val="none" w:sz="0" w:space="0" w:color="auto"/>
        <w:bottom w:val="none" w:sz="0" w:space="0" w:color="auto"/>
        <w:right w:val="none" w:sz="0" w:space="0" w:color="auto"/>
      </w:divBdr>
    </w:div>
    <w:div w:id="1828400225">
      <w:bodyDiv w:val="1"/>
      <w:marLeft w:val="0"/>
      <w:marRight w:val="0"/>
      <w:marTop w:val="0"/>
      <w:marBottom w:val="0"/>
      <w:divBdr>
        <w:top w:val="none" w:sz="0" w:space="0" w:color="auto"/>
        <w:left w:val="none" w:sz="0" w:space="0" w:color="auto"/>
        <w:bottom w:val="none" w:sz="0" w:space="0" w:color="auto"/>
        <w:right w:val="none" w:sz="0" w:space="0" w:color="auto"/>
      </w:divBdr>
    </w:div>
    <w:div w:id="1858276691">
      <w:bodyDiv w:val="1"/>
      <w:marLeft w:val="0"/>
      <w:marRight w:val="0"/>
      <w:marTop w:val="0"/>
      <w:marBottom w:val="0"/>
      <w:divBdr>
        <w:top w:val="none" w:sz="0" w:space="0" w:color="auto"/>
        <w:left w:val="none" w:sz="0" w:space="0" w:color="auto"/>
        <w:bottom w:val="none" w:sz="0" w:space="0" w:color="auto"/>
        <w:right w:val="none" w:sz="0" w:space="0" w:color="auto"/>
      </w:divBdr>
    </w:div>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 w:id="1980649866">
      <w:bodyDiv w:val="1"/>
      <w:marLeft w:val="0"/>
      <w:marRight w:val="0"/>
      <w:marTop w:val="0"/>
      <w:marBottom w:val="0"/>
      <w:divBdr>
        <w:top w:val="none" w:sz="0" w:space="0" w:color="auto"/>
        <w:left w:val="none" w:sz="0" w:space="0" w:color="auto"/>
        <w:bottom w:val="none" w:sz="0" w:space="0" w:color="auto"/>
        <w:right w:val="none" w:sz="0" w:space="0" w:color="auto"/>
      </w:divBdr>
    </w:div>
    <w:div w:id="2009407280">
      <w:bodyDiv w:val="1"/>
      <w:marLeft w:val="0"/>
      <w:marRight w:val="0"/>
      <w:marTop w:val="0"/>
      <w:marBottom w:val="0"/>
      <w:divBdr>
        <w:top w:val="none" w:sz="0" w:space="0" w:color="auto"/>
        <w:left w:val="none" w:sz="0" w:space="0" w:color="auto"/>
        <w:bottom w:val="none" w:sz="0" w:space="0" w:color="auto"/>
        <w:right w:val="none" w:sz="0" w:space="0" w:color="auto"/>
      </w:divBdr>
    </w:div>
    <w:div w:id="21466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4</cp:revision>
  <dcterms:created xsi:type="dcterms:W3CDTF">2019-09-06T08:13:00Z</dcterms:created>
  <dcterms:modified xsi:type="dcterms:W3CDTF">2019-09-06T08:26:00Z</dcterms:modified>
</cp:coreProperties>
</file>